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93" w:rsidRDefault="004E1193" w:rsidP="004E119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Lec.6 </w:t>
      </w:r>
      <w:r w:rsidRPr="00EA56B8"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  <w:r w:rsidRPr="00EA56B8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PHARMACOLOGY             </w:t>
      </w:r>
      <w:r w:rsidRPr="00266266">
        <w:rPr>
          <w:rFonts w:asciiTheme="majorBidi" w:hAnsiTheme="majorBidi" w:cstheme="majorBidi"/>
          <w:b/>
          <w:bCs/>
          <w:sz w:val="24"/>
          <w:szCs w:val="24"/>
        </w:rPr>
        <w:t>Dr. Hanadi H. Al-Khafagy</w:t>
      </w:r>
    </w:p>
    <w:p w:rsidR="004E1193" w:rsidRDefault="004E1193" w:rsidP="004E119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E1193" w:rsidRPr="004E1193" w:rsidRDefault="004E1193" w:rsidP="004E119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E1193">
        <w:rPr>
          <w:rFonts w:asciiTheme="majorBidi" w:hAnsiTheme="majorBidi" w:cstheme="majorBidi"/>
          <w:b/>
          <w:bCs/>
          <w:sz w:val="28"/>
          <w:szCs w:val="28"/>
          <w:u w:val="single"/>
        </w:rPr>
        <w:t>Prolongation of Drug Action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B71065">
        <w:rPr>
          <w:rFonts w:asciiTheme="majorBidi" w:hAnsiTheme="majorBidi" w:cstheme="majorBidi"/>
          <w:sz w:val="28"/>
          <w:szCs w:val="28"/>
        </w:rPr>
        <w:t>Prolongation of action of a drug helps:</w:t>
      </w:r>
    </w:p>
    <w:p w:rsidR="004E1193" w:rsidRPr="004E1193" w:rsidRDefault="004E1193" w:rsidP="004E1193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To reduce the frequency of drug administration.</w:t>
      </w:r>
    </w:p>
    <w:p w:rsidR="004E1193" w:rsidRPr="004E1193" w:rsidRDefault="004E1193" w:rsidP="004E1193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To improve patient compliance.</w:t>
      </w:r>
    </w:p>
    <w:p w:rsidR="004E1193" w:rsidRPr="004E1193" w:rsidRDefault="00B71065" w:rsidP="004E1193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 minimize fl</w:t>
      </w:r>
      <w:r w:rsidR="004E1193" w:rsidRPr="004E1193">
        <w:rPr>
          <w:rFonts w:asciiTheme="majorBidi" w:hAnsiTheme="majorBidi" w:cstheme="majorBidi"/>
          <w:sz w:val="28"/>
          <w:szCs w:val="28"/>
        </w:rPr>
        <w:t>uctuations in plasma concentration.</w:t>
      </w:r>
    </w:p>
    <w:p w:rsidR="004E1193" w:rsidRPr="004E1193" w:rsidRDefault="004E1193" w:rsidP="004E1193">
      <w:pPr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Various methods to prolong the duration of drug action are:</w:t>
      </w:r>
    </w:p>
    <w:p w:rsidR="004E1193" w:rsidRDefault="004E1193" w:rsidP="004E1193">
      <w:pPr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b/>
          <w:bCs/>
          <w:sz w:val="28"/>
          <w:szCs w:val="28"/>
        </w:rPr>
        <w:t>1. For orally administered drugs:</w:t>
      </w:r>
      <w:r w:rsidRPr="004E1193">
        <w:rPr>
          <w:rFonts w:asciiTheme="majorBidi" w:hAnsiTheme="majorBidi" w:cstheme="majorBidi"/>
          <w:sz w:val="28"/>
          <w:szCs w:val="28"/>
        </w:rPr>
        <w:t xml:space="preserve"> By using</w:t>
      </w:r>
      <w:r>
        <w:rPr>
          <w:rFonts w:asciiTheme="majorBidi" w:hAnsiTheme="majorBidi" w:cstheme="majorBidi"/>
          <w:sz w:val="28"/>
          <w:szCs w:val="28"/>
        </w:rPr>
        <w:t xml:space="preserve"> sustained release preparations.</w:t>
      </w:r>
      <w:r w:rsidRPr="004E1193">
        <w:rPr>
          <w:rFonts w:asciiTheme="majorBidi" w:hAnsiTheme="majorBidi" w:cstheme="majorBidi"/>
          <w:sz w:val="28"/>
          <w:szCs w:val="28"/>
        </w:rPr>
        <w:t xml:space="preserve"> These preparations consist of drug particles that have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1193">
        <w:rPr>
          <w:rFonts w:asciiTheme="majorBidi" w:hAnsiTheme="majorBidi" w:cstheme="majorBidi"/>
          <w:sz w:val="28"/>
          <w:szCs w:val="28"/>
        </w:rPr>
        <w:t>different coatings dissolving at</w:t>
      </w:r>
      <w:r>
        <w:rPr>
          <w:rFonts w:asciiTheme="majorBidi" w:hAnsiTheme="majorBidi" w:cstheme="majorBidi"/>
          <w:sz w:val="28"/>
          <w:szCs w:val="28"/>
        </w:rPr>
        <w:t xml:space="preserve"> different intervals of time. </w:t>
      </w:r>
    </w:p>
    <w:p w:rsidR="004E1193" w:rsidRP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b/>
          <w:bCs/>
          <w:sz w:val="28"/>
          <w:szCs w:val="28"/>
        </w:rPr>
        <w:t>2. For parenterally administered drugs</w:t>
      </w:r>
      <w:r w:rsidRPr="004E1193">
        <w:rPr>
          <w:rFonts w:asciiTheme="majorBidi" w:hAnsiTheme="majorBidi" w:cstheme="majorBidi"/>
          <w:sz w:val="28"/>
          <w:szCs w:val="28"/>
        </w:rPr>
        <w:t>: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a. By retarding drug absorption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b. By increasing the pla</w:t>
      </w:r>
      <w:r>
        <w:rPr>
          <w:rFonts w:asciiTheme="majorBidi" w:hAnsiTheme="majorBidi" w:cstheme="majorBidi"/>
          <w:sz w:val="28"/>
          <w:szCs w:val="28"/>
        </w:rPr>
        <w:t>sma protein binding of the drug.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>. By inhibiting drug metabolism.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d. By delay</w:t>
      </w:r>
      <w:r>
        <w:rPr>
          <w:rFonts w:asciiTheme="majorBidi" w:hAnsiTheme="majorBidi" w:cstheme="majorBidi"/>
          <w:sz w:val="28"/>
          <w:szCs w:val="28"/>
        </w:rPr>
        <w:t>ing renal excretion of the drug.</w:t>
      </w:r>
    </w:p>
    <w:p w:rsidR="00B71065" w:rsidRDefault="00B71065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B71065" w:rsidRDefault="00B71065" w:rsidP="004E1193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71065">
        <w:rPr>
          <w:rFonts w:asciiTheme="majorBidi" w:hAnsiTheme="majorBidi" w:cstheme="majorBidi"/>
          <w:b/>
          <w:bCs/>
          <w:sz w:val="28"/>
          <w:szCs w:val="28"/>
          <w:u w:val="single"/>
        </w:rPr>
        <w:t>Drug intolerance:</w:t>
      </w:r>
      <w:r>
        <w:rPr>
          <w:rFonts w:asciiTheme="majorBidi" w:hAnsiTheme="majorBidi" w:cstheme="majorBidi"/>
          <w:sz w:val="28"/>
          <w:szCs w:val="28"/>
        </w:rPr>
        <w:t xml:space="preserve">  inability to tolerate the adverse effects of a medication at a therapeutic or subtherapeutic doses.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A07FD1" w:rsidRDefault="00A07FD1" w:rsidP="004E1193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07FD1" w:rsidRDefault="00A07FD1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Tachyphylaxis:</w:t>
      </w:r>
      <w:r>
        <w:rPr>
          <w:rFonts w:asciiTheme="majorBidi" w:hAnsiTheme="majorBidi" w:cstheme="majorBidi"/>
          <w:sz w:val="28"/>
          <w:szCs w:val="28"/>
        </w:rPr>
        <w:t xml:space="preserve"> is a</w:t>
      </w:r>
      <w:r w:rsidRPr="00851793">
        <w:rPr>
          <w:rFonts w:asciiTheme="majorBidi" w:hAnsiTheme="majorBidi" w:cstheme="majorBidi"/>
          <w:b/>
          <w:bCs/>
          <w:sz w:val="28"/>
          <w:szCs w:val="28"/>
        </w:rPr>
        <w:t xml:space="preserve"> rapid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51793">
        <w:rPr>
          <w:rFonts w:asciiTheme="majorBidi" w:hAnsiTheme="majorBidi" w:cstheme="majorBidi"/>
          <w:b/>
          <w:bCs/>
          <w:sz w:val="28"/>
          <w:szCs w:val="28"/>
        </w:rPr>
        <w:t>decrease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51793">
        <w:rPr>
          <w:rFonts w:asciiTheme="majorBidi" w:hAnsiTheme="majorBidi" w:cstheme="majorBidi"/>
          <w:b/>
          <w:bCs/>
          <w:sz w:val="28"/>
          <w:szCs w:val="28"/>
        </w:rPr>
        <w:t>in response</w:t>
      </w:r>
      <w:r>
        <w:rPr>
          <w:rFonts w:asciiTheme="majorBidi" w:hAnsiTheme="majorBidi" w:cstheme="majorBidi"/>
          <w:sz w:val="28"/>
          <w:szCs w:val="28"/>
        </w:rPr>
        <w:t xml:space="preserve"> due to desensitization of the receptors</w:t>
      </w:r>
      <w:r w:rsidR="007C63D4">
        <w:rPr>
          <w:rFonts w:asciiTheme="majorBidi" w:hAnsiTheme="majorBidi" w:cstheme="majorBidi"/>
          <w:sz w:val="28"/>
          <w:szCs w:val="28"/>
        </w:rPr>
        <w:t xml:space="preserve"> </w:t>
      </w:r>
      <w:r w:rsidR="001532F0">
        <w:rPr>
          <w:rFonts w:asciiTheme="majorBidi" w:hAnsiTheme="majorBidi" w:cstheme="majorBidi"/>
          <w:sz w:val="28"/>
          <w:szCs w:val="28"/>
        </w:rPr>
        <w:t>that results from r</w:t>
      </w:r>
      <w:r w:rsidR="001532F0" w:rsidRPr="001532F0">
        <w:rPr>
          <w:rFonts w:asciiTheme="majorBidi" w:hAnsiTheme="majorBidi" w:cstheme="majorBidi"/>
          <w:sz w:val="28"/>
          <w:szCs w:val="28"/>
        </w:rPr>
        <w:t xml:space="preserve">epeated or continuous administration of an </w:t>
      </w:r>
      <w:r w:rsidR="001532F0" w:rsidRPr="00851793">
        <w:rPr>
          <w:rFonts w:asciiTheme="majorBidi" w:hAnsiTheme="majorBidi" w:cstheme="majorBidi"/>
          <w:b/>
          <w:bCs/>
          <w:sz w:val="28"/>
          <w:szCs w:val="28"/>
        </w:rPr>
        <w:t>agonist.</w:t>
      </w:r>
    </w:p>
    <w:p w:rsidR="001532F0" w:rsidRDefault="001532F0" w:rsidP="001532F0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It </w:t>
      </w:r>
      <w:r w:rsidRPr="001532F0">
        <w:rPr>
          <w:rFonts w:asciiTheme="majorBidi" w:hAnsiTheme="majorBidi" w:cstheme="majorBidi"/>
          <w:sz w:val="28"/>
          <w:szCs w:val="28"/>
        </w:rPr>
        <w:t xml:space="preserve">is often due to </w:t>
      </w:r>
      <w:r w:rsidRPr="00851793">
        <w:rPr>
          <w:rFonts w:asciiTheme="majorBidi" w:hAnsiTheme="majorBidi" w:cstheme="majorBidi"/>
          <w:b/>
          <w:bCs/>
          <w:sz w:val="28"/>
          <w:szCs w:val="28"/>
        </w:rPr>
        <w:t>phosphorylation</w:t>
      </w:r>
      <w:r w:rsidRPr="001532F0">
        <w:rPr>
          <w:rFonts w:asciiTheme="majorBidi" w:hAnsiTheme="majorBidi" w:cstheme="majorBidi"/>
          <w:sz w:val="28"/>
          <w:szCs w:val="28"/>
        </w:rPr>
        <w:t xml:space="preserve"> that renders receptors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532F0">
        <w:rPr>
          <w:rFonts w:asciiTheme="majorBidi" w:hAnsiTheme="majorBidi" w:cstheme="majorBidi"/>
          <w:sz w:val="28"/>
          <w:szCs w:val="28"/>
        </w:rPr>
        <w:t>unresponsive</w:t>
      </w:r>
      <w:r w:rsidR="00851793">
        <w:rPr>
          <w:rFonts w:asciiTheme="majorBidi" w:hAnsiTheme="majorBidi" w:cstheme="majorBidi"/>
          <w:sz w:val="28"/>
          <w:szCs w:val="28"/>
        </w:rPr>
        <w:t xml:space="preserve"> to the agonist or may be due to</w:t>
      </w:r>
      <w:r w:rsidR="00851793" w:rsidRPr="00851793">
        <w:rPr>
          <w:rFonts w:asciiTheme="majorBidi" w:hAnsiTheme="majorBidi" w:cstheme="majorBidi"/>
          <w:b/>
          <w:bCs/>
          <w:sz w:val="28"/>
          <w:szCs w:val="28"/>
        </w:rPr>
        <w:t xml:space="preserve"> depletion </w:t>
      </w:r>
      <w:r w:rsidR="00851793">
        <w:rPr>
          <w:rFonts w:asciiTheme="majorBidi" w:hAnsiTheme="majorBidi" w:cstheme="majorBidi"/>
          <w:sz w:val="28"/>
          <w:szCs w:val="28"/>
        </w:rPr>
        <w:t>of chemicals that may be necessary for the pharmacological actions of the drug.</w:t>
      </w:r>
    </w:p>
    <w:p w:rsidR="0059541A" w:rsidRDefault="0059541A" w:rsidP="001532F0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59541A" w:rsidRDefault="0059541A" w:rsidP="0059541A">
      <w:pPr>
        <w:spacing w:after="0"/>
        <w:rPr>
          <w:rFonts w:asciiTheme="majorBidi" w:hAnsiTheme="majorBidi" w:cstheme="majorBidi"/>
          <w:sz w:val="28"/>
          <w:szCs w:val="28"/>
        </w:rPr>
      </w:pPr>
      <w:r w:rsidRPr="0059541A">
        <w:rPr>
          <w:rFonts w:asciiTheme="majorBidi" w:hAnsiTheme="majorBidi" w:cstheme="majorBidi"/>
          <w:b/>
          <w:bCs/>
          <w:sz w:val="28"/>
          <w:szCs w:val="28"/>
          <w:u w:val="single"/>
        </w:rPr>
        <w:t>Drug Accumulation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Pr="0059541A">
        <w:rPr>
          <w:rFonts w:asciiTheme="majorBidi" w:hAnsiTheme="majorBidi" w:cstheme="majorBidi"/>
          <w:sz w:val="28"/>
          <w:szCs w:val="28"/>
        </w:rPr>
        <w:t>Whenever drug doses are repeated, the drug will accumulate in the</w:t>
      </w:r>
      <w:r w:rsidRPr="00D6235E">
        <w:rPr>
          <w:rFonts w:asciiTheme="majorBidi" w:hAnsiTheme="majorBidi" w:cstheme="majorBidi"/>
          <w:sz w:val="28"/>
          <w:szCs w:val="28"/>
        </w:rPr>
        <w:t xml:space="preserve"> </w:t>
      </w:r>
      <w:r w:rsidRPr="0059541A">
        <w:rPr>
          <w:rFonts w:asciiTheme="majorBidi" w:hAnsiTheme="majorBidi" w:cstheme="majorBidi"/>
          <w:sz w:val="28"/>
          <w:szCs w:val="28"/>
        </w:rPr>
        <w:t xml:space="preserve">body until dosing stops. This is because it takes an infinite time (in theory) to eliminate all of a given dose. In practical terms, this </w:t>
      </w:r>
      <w:r>
        <w:rPr>
          <w:rFonts w:asciiTheme="majorBidi" w:hAnsiTheme="majorBidi" w:cstheme="majorBidi"/>
          <w:sz w:val="28"/>
          <w:szCs w:val="28"/>
        </w:rPr>
        <w:t xml:space="preserve">means that if the dosing </w:t>
      </w:r>
      <w:r w:rsidRPr="0059541A">
        <w:rPr>
          <w:rFonts w:asciiTheme="majorBidi" w:hAnsiTheme="majorBidi" w:cstheme="majorBidi"/>
          <w:sz w:val="28"/>
          <w:szCs w:val="28"/>
        </w:rPr>
        <w:t>interval is shorter than four half-lives,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541A">
        <w:rPr>
          <w:rFonts w:asciiTheme="majorBidi" w:hAnsiTheme="majorBidi" w:cstheme="majorBidi"/>
          <w:sz w:val="28"/>
          <w:szCs w:val="28"/>
        </w:rPr>
        <w:t>accumulation will be detectable.</w:t>
      </w:r>
    </w:p>
    <w:p w:rsidR="00D6235E" w:rsidRPr="0059541A" w:rsidRDefault="00D6235E" w:rsidP="0059541A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>Drug accumulation depends on the dosing interval and elimination half life and is independent on the dose.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4E1193" w:rsidRPr="004E1193" w:rsidRDefault="004E1193" w:rsidP="004E1193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E1193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Idiosyncrasy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Pr="004E1193">
        <w:rPr>
          <w:rFonts w:asciiTheme="majorBidi" w:hAnsiTheme="majorBidi" w:cstheme="majorBidi"/>
          <w:sz w:val="28"/>
          <w:szCs w:val="28"/>
        </w:rPr>
        <w:t>It is usually a</w:t>
      </w:r>
      <w:r w:rsidRPr="00851793">
        <w:rPr>
          <w:rFonts w:asciiTheme="majorBidi" w:hAnsiTheme="majorBidi" w:cstheme="majorBidi"/>
          <w:b/>
          <w:bCs/>
          <w:sz w:val="28"/>
          <w:szCs w:val="28"/>
        </w:rPr>
        <w:t xml:space="preserve"> genetically</w:t>
      </w:r>
      <w:r w:rsidRPr="004E1193">
        <w:rPr>
          <w:rFonts w:asciiTheme="majorBidi" w:hAnsiTheme="majorBidi" w:cstheme="majorBidi"/>
          <w:sz w:val="28"/>
          <w:szCs w:val="28"/>
        </w:rPr>
        <w:t xml:space="preserve"> determined </w:t>
      </w:r>
      <w:r w:rsidRPr="00F3722F">
        <w:rPr>
          <w:rFonts w:asciiTheme="majorBidi" w:hAnsiTheme="majorBidi" w:cstheme="majorBidi"/>
          <w:b/>
          <w:bCs/>
          <w:sz w:val="28"/>
          <w:szCs w:val="28"/>
        </w:rPr>
        <w:t>abnormal reactio</w:t>
      </w:r>
      <w:r w:rsidR="00B71065" w:rsidRPr="00F3722F">
        <w:rPr>
          <w:rFonts w:asciiTheme="majorBidi" w:hAnsiTheme="majorBidi" w:cstheme="majorBidi"/>
          <w:b/>
          <w:bCs/>
          <w:sz w:val="28"/>
          <w:szCs w:val="28"/>
        </w:rPr>
        <w:t>n</w:t>
      </w:r>
      <w:r w:rsidR="00B71065">
        <w:rPr>
          <w:rFonts w:asciiTheme="majorBidi" w:hAnsiTheme="majorBidi" w:cstheme="majorBidi"/>
          <w:sz w:val="28"/>
          <w:szCs w:val="28"/>
        </w:rPr>
        <w:t xml:space="preserve"> to drugs, e.g., hemolytic an</w:t>
      </w:r>
      <w:r w:rsidRPr="004E1193">
        <w:rPr>
          <w:rFonts w:asciiTheme="majorBidi" w:hAnsiTheme="majorBidi" w:cstheme="majorBidi"/>
          <w:sz w:val="28"/>
          <w:szCs w:val="28"/>
        </w:rPr>
        <w:t>emia seen with sulphonamides.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4E1193" w:rsidRPr="004E1193" w:rsidRDefault="004E1193" w:rsidP="004E1193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Drug Interactions:</w:t>
      </w:r>
    </w:p>
    <w:p w:rsidR="004E1193" w:rsidRDefault="004E1193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 w:rsidRPr="004E1193">
        <w:rPr>
          <w:rFonts w:asciiTheme="majorBidi" w:hAnsiTheme="majorBidi" w:cstheme="majorBidi"/>
          <w:sz w:val="28"/>
          <w:szCs w:val="28"/>
        </w:rPr>
        <w:t>When two or more drugs are administered simultaneously, the effects of one drug may be altered by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1193">
        <w:rPr>
          <w:rFonts w:asciiTheme="majorBidi" w:hAnsiTheme="majorBidi" w:cstheme="majorBidi"/>
          <w:sz w:val="28"/>
          <w:szCs w:val="28"/>
        </w:rPr>
        <w:t>the other drug.</w:t>
      </w:r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209414" cy="2477386"/>
            <wp:effectExtent l="0" t="0" r="0" b="18415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C27E9" w:rsidRPr="004E5D26" w:rsidRDefault="007C27E9" w:rsidP="004E119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4E5D26" w:rsidRPr="004E5D26" w:rsidRDefault="004E5D26" w:rsidP="00557CA2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4E5D26">
        <w:rPr>
          <w:rFonts w:asciiTheme="majorBidi" w:hAnsiTheme="majorBidi" w:cstheme="majorBidi"/>
          <w:b/>
          <w:bCs/>
          <w:sz w:val="28"/>
          <w:szCs w:val="28"/>
        </w:rPr>
        <w:t>Pharmaceutical Interactions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4E5D26">
        <w:rPr>
          <w:rFonts w:asciiTheme="majorBidi" w:hAnsiTheme="majorBidi" w:cstheme="majorBidi"/>
          <w:sz w:val="28"/>
          <w:szCs w:val="28"/>
        </w:rPr>
        <w:t>These can occur as a result of incompatibility (physical or chemical) of a drug with an intravenous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E5D26">
        <w:rPr>
          <w:rFonts w:asciiTheme="majorBidi" w:hAnsiTheme="majorBidi" w:cstheme="majorBidi"/>
          <w:sz w:val="28"/>
          <w:szCs w:val="28"/>
        </w:rPr>
        <w:t>solution or when two or more drugs are mixed in the same syringe/</w:t>
      </w:r>
      <w:r w:rsidR="00557CA2">
        <w:rPr>
          <w:rFonts w:asciiTheme="majorBidi" w:hAnsiTheme="majorBidi" w:cstheme="majorBidi"/>
          <w:sz w:val="28"/>
          <w:szCs w:val="28"/>
        </w:rPr>
        <w:t>IV</w:t>
      </w:r>
      <w:r w:rsidRPr="004E5D26">
        <w:rPr>
          <w:rFonts w:asciiTheme="majorBidi" w:hAnsiTheme="majorBidi" w:cstheme="majorBidi"/>
          <w:sz w:val="28"/>
          <w:szCs w:val="28"/>
        </w:rPr>
        <w:t xml:space="preserve"> infusion. This may result in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E5D26">
        <w:rPr>
          <w:rFonts w:asciiTheme="majorBidi" w:hAnsiTheme="majorBidi" w:cstheme="majorBidi"/>
          <w:sz w:val="28"/>
          <w:szCs w:val="28"/>
        </w:rPr>
        <w:t>precipitation or inactivation of one or more drugs.</w:t>
      </w:r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4E5D26" w:rsidRDefault="004E5D26" w:rsidP="004E5D26">
      <w:pPr>
        <w:spacing w:after="0"/>
        <w:rPr>
          <w:rFonts w:asciiTheme="majorBidi" w:hAnsiTheme="majorBidi" w:cstheme="majorBidi"/>
          <w:sz w:val="28"/>
          <w:szCs w:val="28"/>
        </w:rPr>
      </w:pPr>
      <w:r w:rsidRPr="004E5D26">
        <w:rPr>
          <w:rFonts w:asciiTheme="majorBidi" w:hAnsiTheme="majorBidi" w:cstheme="majorBidi"/>
          <w:b/>
          <w:bCs/>
          <w:sz w:val="28"/>
          <w:szCs w:val="28"/>
        </w:rPr>
        <w:t>Pharmacokinetic Interactions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Pr="004E5D26">
        <w:rPr>
          <w:rFonts w:asciiTheme="majorBidi" w:hAnsiTheme="majorBidi" w:cstheme="majorBidi"/>
          <w:sz w:val="28"/>
          <w:szCs w:val="28"/>
        </w:rPr>
        <w:t>These occur when one drug alters the absorption, distribution, metabolism or excretion of another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5D26">
        <w:rPr>
          <w:rFonts w:asciiTheme="majorBidi" w:hAnsiTheme="majorBidi" w:cstheme="majorBidi"/>
          <w:sz w:val="28"/>
          <w:szCs w:val="28"/>
        </w:rPr>
        <w:t>drug.</w:t>
      </w:r>
    </w:p>
    <w:p w:rsidR="004E5D26" w:rsidRDefault="004E5D26" w:rsidP="004E5D26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4E5D26" w:rsidRPr="00557CA2" w:rsidRDefault="004E5D26" w:rsidP="00557CA2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4E5D26">
        <w:rPr>
          <w:rFonts w:asciiTheme="majorBidi" w:hAnsiTheme="majorBidi" w:cstheme="majorBidi"/>
          <w:b/>
          <w:bCs/>
          <w:sz w:val="28"/>
          <w:szCs w:val="28"/>
        </w:rPr>
        <w:t>Pharmacodynamic Interactions:</w:t>
      </w:r>
      <w:r w:rsidR="00557CA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E5D26">
        <w:rPr>
          <w:rFonts w:asciiTheme="majorBidi" w:hAnsiTheme="majorBidi" w:cstheme="majorBidi"/>
          <w:sz w:val="28"/>
          <w:szCs w:val="28"/>
        </w:rPr>
        <w:t>The interaction is due to the action of drugs on receptors or physiological system. This may result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E5D26">
        <w:rPr>
          <w:rFonts w:asciiTheme="majorBidi" w:hAnsiTheme="majorBidi" w:cstheme="majorBidi"/>
          <w:sz w:val="28"/>
          <w:szCs w:val="28"/>
        </w:rPr>
        <w:t>either additive, synergistic or an</w:t>
      </w:r>
      <w:r>
        <w:rPr>
          <w:rFonts w:asciiTheme="majorBidi" w:hAnsiTheme="majorBidi" w:cstheme="majorBidi"/>
          <w:sz w:val="28"/>
          <w:szCs w:val="28"/>
        </w:rPr>
        <w:t xml:space="preserve">tagonistic effects. The </w:t>
      </w:r>
      <w:r w:rsidRPr="004E5D26">
        <w:rPr>
          <w:rFonts w:asciiTheme="majorBidi" w:hAnsiTheme="majorBidi" w:cstheme="majorBidi"/>
          <w:sz w:val="28"/>
          <w:szCs w:val="28"/>
        </w:rPr>
        <w:t>interactions may also result in harmful</w:t>
      </w:r>
      <w:r>
        <w:rPr>
          <w:rFonts w:asciiTheme="majorBidi" w:hAnsiTheme="majorBidi" w:cstheme="majorBidi"/>
          <w:sz w:val="28"/>
          <w:szCs w:val="28"/>
        </w:rPr>
        <w:t xml:space="preserve"> effects or result in benefi</w:t>
      </w:r>
      <w:r w:rsidRPr="004E5D26">
        <w:rPr>
          <w:rFonts w:asciiTheme="majorBidi" w:hAnsiTheme="majorBidi" w:cstheme="majorBidi"/>
          <w:sz w:val="28"/>
          <w:szCs w:val="28"/>
        </w:rPr>
        <w:t>cial effect</w:t>
      </w:r>
      <w:r w:rsidR="00A606A5">
        <w:rPr>
          <w:rFonts w:asciiTheme="majorBidi" w:hAnsiTheme="majorBidi" w:cstheme="majorBidi"/>
          <w:sz w:val="28"/>
          <w:szCs w:val="28"/>
        </w:rPr>
        <w:t xml:space="preserve">. </w:t>
      </w:r>
    </w:p>
    <w:p w:rsidR="004E5D26" w:rsidRDefault="00A606A5" w:rsidP="00A606A5">
      <w:pPr>
        <w:tabs>
          <w:tab w:val="left" w:pos="6798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7C27E9" w:rsidRDefault="007C27E9" w:rsidP="004E1193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7C27E9" w:rsidRPr="007C27E9" w:rsidRDefault="007C27E9" w:rsidP="007C27E9">
      <w:pPr>
        <w:spacing w:after="0"/>
        <w:rPr>
          <w:rFonts w:asciiTheme="majorBidi" w:hAnsiTheme="majorBidi" w:cstheme="majorBidi"/>
          <w:sz w:val="28"/>
          <w:szCs w:val="28"/>
        </w:rPr>
      </w:pPr>
      <w:r w:rsidRPr="007C27E9">
        <w:rPr>
          <w:rFonts w:asciiTheme="majorBidi" w:hAnsiTheme="majorBidi" w:cstheme="majorBidi"/>
          <w:b/>
          <w:bCs/>
          <w:sz w:val="28"/>
          <w:szCs w:val="28"/>
        </w:rPr>
        <w:t>Additive effect</w:t>
      </w:r>
      <w:r w:rsidRPr="007C27E9">
        <w:rPr>
          <w:rFonts w:asciiTheme="majorBidi" w:hAnsiTheme="majorBidi" w:cstheme="majorBidi"/>
          <w:sz w:val="28"/>
          <w:szCs w:val="28"/>
        </w:rPr>
        <w:t>: The combined effect of two or more drugs is equal to the sum of their individual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27E9">
        <w:rPr>
          <w:rFonts w:asciiTheme="majorBidi" w:hAnsiTheme="majorBidi" w:cstheme="majorBidi"/>
          <w:sz w:val="28"/>
          <w:szCs w:val="28"/>
        </w:rPr>
        <w:t>effect.</w:t>
      </w:r>
    </w:p>
    <w:p w:rsidR="007C27E9" w:rsidRDefault="007C27E9" w:rsidP="007C27E9">
      <w:pPr>
        <w:spacing w:after="0"/>
        <w:rPr>
          <w:rFonts w:asciiTheme="majorBidi" w:hAnsiTheme="majorBidi" w:cstheme="majorBidi"/>
          <w:sz w:val="28"/>
          <w:szCs w:val="28"/>
        </w:rPr>
      </w:pPr>
      <w:r w:rsidRPr="007C27E9">
        <w:rPr>
          <w:rFonts w:asciiTheme="majorBidi" w:hAnsiTheme="majorBidi" w:cstheme="majorBidi"/>
          <w:sz w:val="28"/>
          <w:szCs w:val="28"/>
        </w:rPr>
        <w:t>Effect of drugs A + B = Effect of drug A + Effect of drug B</w:t>
      </w:r>
    </w:p>
    <w:p w:rsidR="007C27E9" w:rsidRPr="007C27E9" w:rsidRDefault="007C27E9" w:rsidP="007C27E9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7C27E9" w:rsidRDefault="007C27E9" w:rsidP="007C27E9">
      <w:pPr>
        <w:spacing w:after="0"/>
        <w:rPr>
          <w:rFonts w:asciiTheme="majorBidi" w:hAnsiTheme="majorBidi" w:cstheme="majorBidi"/>
          <w:sz w:val="28"/>
          <w:szCs w:val="28"/>
        </w:rPr>
      </w:pPr>
      <w:r w:rsidRPr="007C27E9">
        <w:rPr>
          <w:rFonts w:asciiTheme="majorBidi" w:hAnsiTheme="majorBidi" w:cstheme="majorBidi"/>
          <w:b/>
          <w:bCs/>
          <w:sz w:val="28"/>
          <w:szCs w:val="28"/>
        </w:rPr>
        <w:t>Synergism</w:t>
      </w:r>
      <w:r w:rsidRPr="007C27E9">
        <w:rPr>
          <w:rFonts w:asciiTheme="majorBidi" w:hAnsiTheme="majorBidi" w:cstheme="majorBidi"/>
          <w:sz w:val="28"/>
          <w:szCs w:val="28"/>
        </w:rPr>
        <w:t>: When two or more drugs are administered simultaneously, their combined effect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C27E9">
        <w:rPr>
          <w:rFonts w:asciiTheme="majorBidi" w:hAnsiTheme="majorBidi" w:cstheme="majorBidi"/>
          <w:sz w:val="28"/>
          <w:szCs w:val="28"/>
        </w:rPr>
        <w:t>greater than that elicited by either drug alone.</w:t>
      </w:r>
    </w:p>
    <w:p w:rsidR="00557CA2" w:rsidRPr="00557CA2" w:rsidRDefault="00557CA2" w:rsidP="007C27E9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57CA2" w:rsidRDefault="00557CA2" w:rsidP="00557CA2">
      <w:pPr>
        <w:spacing w:after="0"/>
        <w:rPr>
          <w:rFonts w:asciiTheme="majorBidi" w:hAnsiTheme="majorBidi" w:cstheme="majorBidi"/>
          <w:sz w:val="28"/>
          <w:szCs w:val="28"/>
        </w:rPr>
      </w:pPr>
      <w:r w:rsidRPr="00557CA2">
        <w:rPr>
          <w:rFonts w:asciiTheme="majorBidi" w:hAnsiTheme="majorBidi" w:cstheme="majorBidi"/>
          <w:b/>
          <w:bCs/>
          <w:sz w:val="28"/>
          <w:szCs w:val="28"/>
          <w:u w:val="single"/>
        </w:rPr>
        <w:t>Pharmacogenetics:</w:t>
      </w:r>
      <w:r>
        <w:rPr>
          <w:rFonts w:asciiTheme="majorBidi" w:hAnsiTheme="majorBidi" w:cstheme="majorBidi"/>
          <w:sz w:val="28"/>
          <w:szCs w:val="28"/>
        </w:rPr>
        <w:t xml:space="preserve"> is t</w:t>
      </w:r>
      <w:r w:rsidRPr="00557CA2">
        <w:rPr>
          <w:rFonts w:asciiTheme="majorBidi" w:hAnsiTheme="majorBidi" w:cstheme="majorBidi"/>
          <w:sz w:val="28"/>
          <w:szCs w:val="28"/>
        </w:rPr>
        <w:t>he study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57CA2">
        <w:rPr>
          <w:rFonts w:asciiTheme="majorBidi" w:hAnsiTheme="majorBidi" w:cstheme="majorBidi"/>
          <w:sz w:val="28"/>
          <w:szCs w:val="28"/>
        </w:rPr>
        <w:t>genetically determined varia</w:t>
      </w:r>
      <w:r>
        <w:rPr>
          <w:rFonts w:asciiTheme="majorBidi" w:hAnsiTheme="majorBidi" w:cstheme="majorBidi"/>
          <w:sz w:val="28"/>
          <w:szCs w:val="28"/>
        </w:rPr>
        <w:t>tion in drug response.</w:t>
      </w:r>
    </w:p>
    <w:p w:rsidR="004E1193" w:rsidRPr="004E1193" w:rsidRDefault="004E1193" w:rsidP="004E119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74778" w:rsidRPr="004E1193" w:rsidRDefault="00C74778">
      <w:pPr>
        <w:rPr>
          <w:sz w:val="28"/>
          <w:szCs w:val="28"/>
        </w:rPr>
      </w:pPr>
    </w:p>
    <w:sectPr w:rsidR="00C74778" w:rsidRPr="004E1193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FFA" w:rsidRDefault="00231FFA" w:rsidP="00472A3F">
      <w:pPr>
        <w:spacing w:after="0" w:line="240" w:lineRule="auto"/>
      </w:pPr>
      <w:r>
        <w:separator/>
      </w:r>
    </w:p>
  </w:endnote>
  <w:endnote w:type="continuationSeparator" w:id="0">
    <w:p w:rsidR="00231FFA" w:rsidRDefault="00231FFA" w:rsidP="0047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758440"/>
      <w:docPartObj>
        <w:docPartGallery w:val="Page Numbers (Bottom of Page)"/>
        <w:docPartUnique/>
      </w:docPartObj>
    </w:sdtPr>
    <w:sdtEndPr/>
    <w:sdtContent>
      <w:p w:rsidR="00472A3F" w:rsidRDefault="00472A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FFA" w:rsidRPr="00231FFA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:rsidR="00472A3F" w:rsidRDefault="00472A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FFA" w:rsidRDefault="00231FFA" w:rsidP="00472A3F">
      <w:pPr>
        <w:spacing w:after="0" w:line="240" w:lineRule="auto"/>
      </w:pPr>
      <w:r>
        <w:separator/>
      </w:r>
    </w:p>
  </w:footnote>
  <w:footnote w:type="continuationSeparator" w:id="0">
    <w:p w:rsidR="00231FFA" w:rsidRDefault="00231FFA" w:rsidP="00472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364"/>
    <w:multiLevelType w:val="hybridMultilevel"/>
    <w:tmpl w:val="3536E4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C0"/>
    <w:rsid w:val="001532F0"/>
    <w:rsid w:val="00231FFA"/>
    <w:rsid w:val="003567BB"/>
    <w:rsid w:val="00472A3F"/>
    <w:rsid w:val="004E1193"/>
    <w:rsid w:val="004E5D26"/>
    <w:rsid w:val="00557CA2"/>
    <w:rsid w:val="0059541A"/>
    <w:rsid w:val="007C27E9"/>
    <w:rsid w:val="007C63D4"/>
    <w:rsid w:val="008338C0"/>
    <w:rsid w:val="00851793"/>
    <w:rsid w:val="008A7ED5"/>
    <w:rsid w:val="009A0213"/>
    <w:rsid w:val="00A034B4"/>
    <w:rsid w:val="00A07FD1"/>
    <w:rsid w:val="00A606A5"/>
    <w:rsid w:val="00B71065"/>
    <w:rsid w:val="00C66A83"/>
    <w:rsid w:val="00C7084F"/>
    <w:rsid w:val="00C74778"/>
    <w:rsid w:val="00D07C26"/>
    <w:rsid w:val="00D165F6"/>
    <w:rsid w:val="00D6235E"/>
    <w:rsid w:val="00E07FC8"/>
    <w:rsid w:val="00ED7C21"/>
    <w:rsid w:val="00F23AF3"/>
    <w:rsid w:val="00F3722F"/>
    <w:rsid w:val="00F7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9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72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2A3F"/>
  </w:style>
  <w:style w:type="paragraph" w:styleId="a5">
    <w:name w:val="footer"/>
    <w:basedOn w:val="a"/>
    <w:link w:val="Char0"/>
    <w:uiPriority w:val="99"/>
    <w:unhideWhenUsed/>
    <w:rsid w:val="00472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2A3F"/>
  </w:style>
  <w:style w:type="paragraph" w:styleId="a6">
    <w:name w:val="Balloon Text"/>
    <w:basedOn w:val="a"/>
    <w:link w:val="Char1"/>
    <w:uiPriority w:val="99"/>
    <w:semiHidden/>
    <w:unhideWhenUsed/>
    <w:rsid w:val="007C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C2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9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72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2A3F"/>
  </w:style>
  <w:style w:type="paragraph" w:styleId="a5">
    <w:name w:val="footer"/>
    <w:basedOn w:val="a"/>
    <w:link w:val="Char0"/>
    <w:uiPriority w:val="99"/>
    <w:unhideWhenUsed/>
    <w:rsid w:val="00472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2A3F"/>
  </w:style>
  <w:style w:type="paragraph" w:styleId="a6">
    <w:name w:val="Balloon Text"/>
    <w:basedOn w:val="a"/>
    <w:link w:val="Char1"/>
    <w:uiPriority w:val="99"/>
    <w:semiHidden/>
    <w:unhideWhenUsed/>
    <w:rsid w:val="007C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C2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7F9532-3DB9-4C3E-BFFF-4DCC7E0D8B82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30E89ADC-1ACB-4051-949E-B3A080733725}">
      <dgm:prSet phldrT="[نص]" custT="1"/>
      <dgm:spPr/>
      <dgm:t>
        <a:bodyPr/>
        <a:lstStyle/>
        <a:p>
          <a:r>
            <a:rPr lang="en-US" sz="1400" b="1">
              <a:latin typeface="Times New Roman" pitchFamily="18" charset="0"/>
              <a:cs typeface="Times New Roman" pitchFamily="18" charset="0"/>
            </a:rPr>
            <a:t>Drug</a:t>
          </a:r>
          <a:r>
            <a:rPr lang="en-US" sz="14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400" b="1">
              <a:latin typeface="Times New Roman" pitchFamily="18" charset="0"/>
              <a:cs typeface="Times New Roman" pitchFamily="18" charset="0"/>
            </a:rPr>
            <a:t>Interactions</a:t>
          </a:r>
        </a:p>
      </dgm:t>
    </dgm:pt>
    <dgm:pt modelId="{0A6965E7-F064-4413-BA3B-6BF45C8DC5D3}" type="parTrans" cxnId="{44A9E28B-A10E-4683-BF1D-85464074930A}">
      <dgm:prSet/>
      <dgm:spPr/>
      <dgm:t>
        <a:bodyPr/>
        <a:lstStyle/>
        <a:p>
          <a:endParaRPr lang="en-US"/>
        </a:p>
      </dgm:t>
    </dgm:pt>
    <dgm:pt modelId="{EEF29BED-3AA6-4D78-B647-1512AD466F64}" type="sibTrans" cxnId="{44A9E28B-A10E-4683-BF1D-85464074930A}">
      <dgm:prSet/>
      <dgm:spPr/>
      <dgm:t>
        <a:bodyPr/>
        <a:lstStyle/>
        <a:p>
          <a:endParaRPr lang="en-US"/>
        </a:p>
      </dgm:t>
    </dgm:pt>
    <dgm:pt modelId="{727EA98F-658D-4706-8975-4A9461F8E95C}">
      <dgm:prSet phldrT="[نص]" custT="1"/>
      <dgm:spPr/>
      <dgm:t>
        <a:bodyPr/>
        <a:lstStyle/>
        <a:p>
          <a:r>
            <a:rPr lang="en-US" sz="1400" b="1">
              <a:latin typeface="Times New Roman" pitchFamily="18" charset="0"/>
              <a:cs typeface="Times New Roman" pitchFamily="18" charset="0"/>
            </a:rPr>
            <a:t>In vitro</a:t>
          </a:r>
        </a:p>
        <a:p>
          <a:r>
            <a:rPr lang="en-US" sz="1400">
              <a:latin typeface="Times New Roman" pitchFamily="18" charset="0"/>
              <a:cs typeface="Times New Roman" pitchFamily="18" charset="0"/>
            </a:rPr>
            <a:t>pharmaceutical interactions</a:t>
          </a:r>
        </a:p>
      </dgm:t>
    </dgm:pt>
    <dgm:pt modelId="{86197026-8B72-4288-A6C1-0516547DEDBB}" type="parTrans" cxnId="{B32C09C9-7C0C-4E6C-A269-0C399D198682}">
      <dgm:prSet/>
      <dgm:spPr/>
      <dgm:t>
        <a:bodyPr/>
        <a:lstStyle/>
        <a:p>
          <a:endParaRPr lang="en-US"/>
        </a:p>
      </dgm:t>
    </dgm:pt>
    <dgm:pt modelId="{59B6DE71-446A-49A0-AD33-71617A19187D}" type="sibTrans" cxnId="{B32C09C9-7C0C-4E6C-A269-0C399D198682}">
      <dgm:prSet/>
      <dgm:spPr/>
      <dgm:t>
        <a:bodyPr/>
        <a:lstStyle/>
        <a:p>
          <a:endParaRPr lang="en-US"/>
        </a:p>
      </dgm:t>
    </dgm:pt>
    <dgm:pt modelId="{45D393F3-40AB-4F69-B002-7F2294263382}">
      <dgm:prSet phldrT="[نص]" custT="1"/>
      <dgm:spPr/>
      <dgm:t>
        <a:bodyPr/>
        <a:lstStyle/>
        <a:p>
          <a:r>
            <a:rPr lang="en-US" sz="1400" b="1">
              <a:latin typeface="Times New Roman" pitchFamily="18" charset="0"/>
              <a:cs typeface="Times New Roman" pitchFamily="18" charset="0"/>
            </a:rPr>
            <a:t>In vivo</a:t>
          </a:r>
        </a:p>
      </dgm:t>
    </dgm:pt>
    <dgm:pt modelId="{A08B3A8E-79EF-46A1-ADD0-B06AFC810783}" type="parTrans" cxnId="{537607F4-D5C5-4DA1-81ED-CFCF05828CC2}">
      <dgm:prSet/>
      <dgm:spPr/>
      <dgm:t>
        <a:bodyPr/>
        <a:lstStyle/>
        <a:p>
          <a:endParaRPr lang="en-US"/>
        </a:p>
      </dgm:t>
    </dgm:pt>
    <dgm:pt modelId="{25D1598E-C13E-40CD-B9C6-C1BDE2626FE5}" type="sibTrans" cxnId="{537607F4-D5C5-4DA1-81ED-CFCF05828CC2}">
      <dgm:prSet/>
      <dgm:spPr/>
      <dgm:t>
        <a:bodyPr/>
        <a:lstStyle/>
        <a:p>
          <a:endParaRPr lang="en-US"/>
        </a:p>
      </dgm:t>
    </dgm:pt>
    <dgm:pt modelId="{00867BF0-EAB4-44E6-A3E1-EF1576B2E83D}" type="asst">
      <dgm:prSet custT="1"/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pharmacokinetic interactions</a:t>
          </a:r>
        </a:p>
      </dgm:t>
    </dgm:pt>
    <dgm:pt modelId="{C974CDCB-5042-4F80-8AB1-DA40675A623B}" type="parTrans" cxnId="{2EA1044D-314A-4FD1-9094-C3DD5A071BC6}">
      <dgm:prSet/>
      <dgm:spPr/>
      <dgm:t>
        <a:bodyPr/>
        <a:lstStyle/>
        <a:p>
          <a:endParaRPr lang="en-US"/>
        </a:p>
      </dgm:t>
    </dgm:pt>
    <dgm:pt modelId="{0D91205C-3374-4EA8-A25E-60EBF8BC3713}" type="sibTrans" cxnId="{2EA1044D-314A-4FD1-9094-C3DD5A071BC6}">
      <dgm:prSet/>
      <dgm:spPr/>
      <dgm:t>
        <a:bodyPr/>
        <a:lstStyle/>
        <a:p>
          <a:endParaRPr lang="en-US"/>
        </a:p>
      </dgm:t>
    </dgm:pt>
    <dgm:pt modelId="{15E0F8F4-2345-4FC4-9AAE-FC30AB21B93F}" type="asst">
      <dgm:prSet custT="1"/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pharmacokinetic interactions</a:t>
          </a:r>
        </a:p>
      </dgm:t>
    </dgm:pt>
    <dgm:pt modelId="{451099EE-E14E-482A-8CB9-C780BC21CFAC}" type="parTrans" cxnId="{76D8D19A-5AE4-459B-B161-406DFF52B13A}">
      <dgm:prSet/>
      <dgm:spPr/>
      <dgm:t>
        <a:bodyPr/>
        <a:lstStyle/>
        <a:p>
          <a:endParaRPr lang="en-US"/>
        </a:p>
      </dgm:t>
    </dgm:pt>
    <dgm:pt modelId="{F1B726AB-9ECD-40EA-B168-74810F19347D}" type="sibTrans" cxnId="{76D8D19A-5AE4-459B-B161-406DFF52B13A}">
      <dgm:prSet/>
      <dgm:spPr/>
      <dgm:t>
        <a:bodyPr/>
        <a:lstStyle/>
        <a:p>
          <a:endParaRPr lang="en-US"/>
        </a:p>
      </dgm:t>
    </dgm:pt>
    <dgm:pt modelId="{06279BD5-13EB-408B-81BB-5056A6B0767C}" type="pres">
      <dgm:prSet presAssocID="{817F9532-3DB9-4C3E-BFFF-4DCC7E0D8B8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3C09A99-E0A2-484F-8131-A3BDEE188C99}" type="pres">
      <dgm:prSet presAssocID="{30E89ADC-1ACB-4051-949E-B3A080733725}" presName="hierRoot1" presStyleCnt="0">
        <dgm:presLayoutVars>
          <dgm:hierBranch val="init"/>
        </dgm:presLayoutVars>
      </dgm:prSet>
      <dgm:spPr/>
    </dgm:pt>
    <dgm:pt modelId="{44E33529-88A9-41B9-87AE-644A2104E64A}" type="pres">
      <dgm:prSet presAssocID="{30E89ADC-1ACB-4051-949E-B3A080733725}" presName="rootComposite1" presStyleCnt="0"/>
      <dgm:spPr/>
    </dgm:pt>
    <dgm:pt modelId="{DE306B15-CF6C-455F-A5E4-71AFA279352E}" type="pres">
      <dgm:prSet presAssocID="{30E89ADC-1ACB-4051-949E-B3A080733725}" presName="rootText1" presStyleLbl="node0" presStyleIdx="0" presStyleCnt="1" custScaleX="1215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E15CF3-008C-436C-8C38-F6D4EDF39AF2}" type="pres">
      <dgm:prSet presAssocID="{30E89ADC-1ACB-4051-949E-B3A080733725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FAFE16-CAA0-4518-8FB6-4AFC8E8E9B1E}" type="pres">
      <dgm:prSet presAssocID="{30E89ADC-1ACB-4051-949E-B3A080733725}" presName="hierChild2" presStyleCnt="0"/>
      <dgm:spPr/>
    </dgm:pt>
    <dgm:pt modelId="{73CA7DD3-5C7F-4960-BD49-24D05926414D}" type="pres">
      <dgm:prSet presAssocID="{86197026-8B72-4288-A6C1-0516547DEDBB}" presName="Name37" presStyleLbl="parChTrans1D2" presStyleIdx="0" presStyleCnt="2"/>
      <dgm:spPr/>
      <dgm:t>
        <a:bodyPr/>
        <a:lstStyle/>
        <a:p>
          <a:endParaRPr lang="en-US"/>
        </a:p>
      </dgm:t>
    </dgm:pt>
    <dgm:pt modelId="{98F6C8DB-E194-4260-BB1C-0BB0E90807A8}" type="pres">
      <dgm:prSet presAssocID="{727EA98F-658D-4706-8975-4A9461F8E95C}" presName="hierRoot2" presStyleCnt="0">
        <dgm:presLayoutVars>
          <dgm:hierBranch val="init"/>
        </dgm:presLayoutVars>
      </dgm:prSet>
      <dgm:spPr/>
    </dgm:pt>
    <dgm:pt modelId="{5A32FCC4-63CD-4456-81BF-E4AE2F272CB0}" type="pres">
      <dgm:prSet presAssocID="{727EA98F-658D-4706-8975-4A9461F8E95C}" presName="rootComposite" presStyleCnt="0"/>
      <dgm:spPr/>
    </dgm:pt>
    <dgm:pt modelId="{D9928641-34BF-4400-A4B8-6F84764DA3FC}" type="pres">
      <dgm:prSet presAssocID="{727EA98F-658D-4706-8975-4A9461F8E95C}" presName="rootText" presStyleLbl="node2" presStyleIdx="0" presStyleCnt="2" custLinFactNeighborX="-650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DC21AE-51CE-45B9-B482-577CF39D79EE}" type="pres">
      <dgm:prSet presAssocID="{727EA98F-658D-4706-8975-4A9461F8E95C}" presName="rootConnector" presStyleLbl="node2" presStyleIdx="0" presStyleCnt="2"/>
      <dgm:spPr/>
      <dgm:t>
        <a:bodyPr/>
        <a:lstStyle/>
        <a:p>
          <a:endParaRPr lang="en-US"/>
        </a:p>
      </dgm:t>
    </dgm:pt>
    <dgm:pt modelId="{CF42C162-D9AA-4411-81F3-F186B7C4C571}" type="pres">
      <dgm:prSet presAssocID="{727EA98F-658D-4706-8975-4A9461F8E95C}" presName="hierChild4" presStyleCnt="0"/>
      <dgm:spPr/>
    </dgm:pt>
    <dgm:pt modelId="{ED289283-D6C9-4A49-9E49-00163E394CC4}" type="pres">
      <dgm:prSet presAssocID="{727EA98F-658D-4706-8975-4A9461F8E95C}" presName="hierChild5" presStyleCnt="0"/>
      <dgm:spPr/>
    </dgm:pt>
    <dgm:pt modelId="{BF3A7D53-0C98-44C9-8833-FB942D81386E}" type="pres">
      <dgm:prSet presAssocID="{A08B3A8E-79EF-46A1-ADD0-B06AFC810783}" presName="Name37" presStyleLbl="parChTrans1D2" presStyleIdx="1" presStyleCnt="2"/>
      <dgm:spPr/>
      <dgm:t>
        <a:bodyPr/>
        <a:lstStyle/>
        <a:p>
          <a:endParaRPr lang="en-US"/>
        </a:p>
      </dgm:t>
    </dgm:pt>
    <dgm:pt modelId="{4237010D-BF32-44D5-8294-7C11407F76D2}" type="pres">
      <dgm:prSet presAssocID="{45D393F3-40AB-4F69-B002-7F2294263382}" presName="hierRoot2" presStyleCnt="0">
        <dgm:presLayoutVars>
          <dgm:hierBranch val="init"/>
        </dgm:presLayoutVars>
      </dgm:prSet>
      <dgm:spPr/>
    </dgm:pt>
    <dgm:pt modelId="{F47F9780-8706-458F-A590-953DD86D8EBD}" type="pres">
      <dgm:prSet presAssocID="{45D393F3-40AB-4F69-B002-7F2294263382}" presName="rootComposite" presStyleCnt="0"/>
      <dgm:spPr/>
    </dgm:pt>
    <dgm:pt modelId="{959CABDD-4011-4198-9C9D-A75328714053}" type="pres">
      <dgm:prSet presAssocID="{45D393F3-40AB-4F69-B002-7F2294263382}" presName="rootText" presStyleLbl="node2" presStyleIdx="1" presStyleCnt="2" custLinFactNeighborX="71245" custLinFactNeighborY="-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3B8EAD-507D-4AE9-92BB-9BB486B0F789}" type="pres">
      <dgm:prSet presAssocID="{45D393F3-40AB-4F69-B002-7F2294263382}" presName="rootConnector" presStyleLbl="node2" presStyleIdx="1" presStyleCnt="2"/>
      <dgm:spPr/>
      <dgm:t>
        <a:bodyPr/>
        <a:lstStyle/>
        <a:p>
          <a:endParaRPr lang="en-US"/>
        </a:p>
      </dgm:t>
    </dgm:pt>
    <dgm:pt modelId="{40F6FD16-0FD4-438B-B55B-8D2FB4CA92DF}" type="pres">
      <dgm:prSet presAssocID="{45D393F3-40AB-4F69-B002-7F2294263382}" presName="hierChild4" presStyleCnt="0"/>
      <dgm:spPr/>
    </dgm:pt>
    <dgm:pt modelId="{06841CF5-AF9A-4FAE-906E-6361380652FC}" type="pres">
      <dgm:prSet presAssocID="{45D393F3-40AB-4F69-B002-7F2294263382}" presName="hierChild5" presStyleCnt="0"/>
      <dgm:spPr/>
    </dgm:pt>
    <dgm:pt modelId="{DB274A3A-C5A2-48C8-ADF9-DC325C9D778C}" type="pres">
      <dgm:prSet presAssocID="{C974CDCB-5042-4F80-8AB1-DA40675A623B}" presName="Name111" presStyleLbl="parChTrans1D3" presStyleIdx="0" presStyleCnt="2"/>
      <dgm:spPr/>
      <dgm:t>
        <a:bodyPr/>
        <a:lstStyle/>
        <a:p>
          <a:endParaRPr lang="en-US"/>
        </a:p>
      </dgm:t>
    </dgm:pt>
    <dgm:pt modelId="{6DDA6DCF-042E-443C-997F-E5573ED310A0}" type="pres">
      <dgm:prSet presAssocID="{00867BF0-EAB4-44E6-A3E1-EF1576B2E83D}" presName="hierRoot3" presStyleCnt="0">
        <dgm:presLayoutVars>
          <dgm:hierBranch val="init"/>
        </dgm:presLayoutVars>
      </dgm:prSet>
      <dgm:spPr/>
    </dgm:pt>
    <dgm:pt modelId="{E5116A5E-7899-45C1-B9B0-B3AA0339960B}" type="pres">
      <dgm:prSet presAssocID="{00867BF0-EAB4-44E6-A3E1-EF1576B2E83D}" presName="rootComposite3" presStyleCnt="0"/>
      <dgm:spPr/>
    </dgm:pt>
    <dgm:pt modelId="{4C306C29-154C-439F-8AF2-46473CBE9CBE}" type="pres">
      <dgm:prSet presAssocID="{00867BF0-EAB4-44E6-A3E1-EF1576B2E83D}" presName="rootText3" presStyleLbl="asst2" presStyleIdx="0" presStyleCnt="2" custLinFactNeighborX="43732" custLinFactNeighborY="2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57466B-7719-46F1-9FA4-C69A52665BC8}" type="pres">
      <dgm:prSet presAssocID="{00867BF0-EAB4-44E6-A3E1-EF1576B2E83D}" presName="rootConnector3" presStyleLbl="asst2" presStyleIdx="0" presStyleCnt="2"/>
      <dgm:spPr/>
      <dgm:t>
        <a:bodyPr/>
        <a:lstStyle/>
        <a:p>
          <a:endParaRPr lang="en-US"/>
        </a:p>
      </dgm:t>
    </dgm:pt>
    <dgm:pt modelId="{9DA44DC2-35D3-4EBB-873E-2FD32B9074C1}" type="pres">
      <dgm:prSet presAssocID="{00867BF0-EAB4-44E6-A3E1-EF1576B2E83D}" presName="hierChild6" presStyleCnt="0"/>
      <dgm:spPr/>
    </dgm:pt>
    <dgm:pt modelId="{FD5D3D0B-0F3F-4529-90D5-973FD65A8F9C}" type="pres">
      <dgm:prSet presAssocID="{00867BF0-EAB4-44E6-A3E1-EF1576B2E83D}" presName="hierChild7" presStyleCnt="0"/>
      <dgm:spPr/>
    </dgm:pt>
    <dgm:pt modelId="{65FAC8C7-B108-47E9-97A4-93C4B8EC253B}" type="pres">
      <dgm:prSet presAssocID="{451099EE-E14E-482A-8CB9-C780BC21CFAC}" presName="Name111" presStyleLbl="parChTrans1D3" presStyleIdx="1" presStyleCnt="2"/>
      <dgm:spPr/>
      <dgm:t>
        <a:bodyPr/>
        <a:lstStyle/>
        <a:p>
          <a:endParaRPr lang="en-US"/>
        </a:p>
      </dgm:t>
    </dgm:pt>
    <dgm:pt modelId="{06594654-AA58-4670-B884-E5F84E2AAF1B}" type="pres">
      <dgm:prSet presAssocID="{15E0F8F4-2345-4FC4-9AAE-FC30AB21B93F}" presName="hierRoot3" presStyleCnt="0">
        <dgm:presLayoutVars>
          <dgm:hierBranch val="init"/>
        </dgm:presLayoutVars>
      </dgm:prSet>
      <dgm:spPr/>
    </dgm:pt>
    <dgm:pt modelId="{42E84550-223A-425F-A29B-128FDE2D753C}" type="pres">
      <dgm:prSet presAssocID="{15E0F8F4-2345-4FC4-9AAE-FC30AB21B93F}" presName="rootComposite3" presStyleCnt="0"/>
      <dgm:spPr/>
    </dgm:pt>
    <dgm:pt modelId="{7275974E-7D40-4D14-AFE7-277488C965D9}" type="pres">
      <dgm:prSet presAssocID="{15E0F8F4-2345-4FC4-9AAE-FC30AB21B93F}" presName="rootText3" presStyleLbl="asst2" presStyleIdx="1" presStyleCnt="2" custLinFactNeighborX="94991" custLinFactNeighborY="5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1CEF01-F04C-4DF7-839F-FB160082BAF0}" type="pres">
      <dgm:prSet presAssocID="{15E0F8F4-2345-4FC4-9AAE-FC30AB21B93F}" presName="rootConnector3" presStyleLbl="asst2" presStyleIdx="1" presStyleCnt="2"/>
      <dgm:spPr/>
      <dgm:t>
        <a:bodyPr/>
        <a:lstStyle/>
        <a:p>
          <a:endParaRPr lang="en-US"/>
        </a:p>
      </dgm:t>
    </dgm:pt>
    <dgm:pt modelId="{030F1B42-9149-4594-B08B-BE85AB1F7B1D}" type="pres">
      <dgm:prSet presAssocID="{15E0F8F4-2345-4FC4-9AAE-FC30AB21B93F}" presName="hierChild6" presStyleCnt="0"/>
      <dgm:spPr/>
    </dgm:pt>
    <dgm:pt modelId="{4D9602CA-BF6D-4FB6-99F3-0EDB3B15440C}" type="pres">
      <dgm:prSet presAssocID="{15E0F8F4-2345-4FC4-9AAE-FC30AB21B93F}" presName="hierChild7" presStyleCnt="0"/>
      <dgm:spPr/>
    </dgm:pt>
    <dgm:pt modelId="{3A0F587D-A01A-492D-986C-94B37447EBD8}" type="pres">
      <dgm:prSet presAssocID="{30E89ADC-1ACB-4051-949E-B3A080733725}" presName="hierChild3" presStyleCnt="0"/>
      <dgm:spPr/>
    </dgm:pt>
  </dgm:ptLst>
  <dgm:cxnLst>
    <dgm:cxn modelId="{BB29E847-7096-4D1C-9AA1-C1787BD35568}" type="presOf" srcId="{45D393F3-40AB-4F69-B002-7F2294263382}" destId="{BE3B8EAD-507D-4AE9-92BB-9BB486B0F789}" srcOrd="1" destOrd="0" presId="urn:microsoft.com/office/officeart/2005/8/layout/orgChart1"/>
    <dgm:cxn modelId="{AB6AA665-14FC-4385-B767-8C37AB488965}" type="presOf" srcId="{00867BF0-EAB4-44E6-A3E1-EF1576B2E83D}" destId="{4C306C29-154C-439F-8AF2-46473CBE9CBE}" srcOrd="0" destOrd="0" presId="urn:microsoft.com/office/officeart/2005/8/layout/orgChart1"/>
    <dgm:cxn modelId="{92E00139-9379-469C-9838-26D14DECF1BC}" type="presOf" srcId="{30E89ADC-1ACB-4051-949E-B3A080733725}" destId="{62E15CF3-008C-436C-8C38-F6D4EDF39AF2}" srcOrd="1" destOrd="0" presId="urn:microsoft.com/office/officeart/2005/8/layout/orgChart1"/>
    <dgm:cxn modelId="{54C28F7F-BF92-4BE4-BBFE-F1524755B4C6}" type="presOf" srcId="{451099EE-E14E-482A-8CB9-C780BC21CFAC}" destId="{65FAC8C7-B108-47E9-97A4-93C4B8EC253B}" srcOrd="0" destOrd="0" presId="urn:microsoft.com/office/officeart/2005/8/layout/orgChart1"/>
    <dgm:cxn modelId="{A42A1153-E59E-47D7-B87F-783AEC04A437}" type="presOf" srcId="{45D393F3-40AB-4F69-B002-7F2294263382}" destId="{959CABDD-4011-4198-9C9D-A75328714053}" srcOrd="0" destOrd="0" presId="urn:microsoft.com/office/officeart/2005/8/layout/orgChart1"/>
    <dgm:cxn modelId="{76D8D19A-5AE4-459B-B161-406DFF52B13A}" srcId="{45D393F3-40AB-4F69-B002-7F2294263382}" destId="{15E0F8F4-2345-4FC4-9AAE-FC30AB21B93F}" srcOrd="1" destOrd="0" parTransId="{451099EE-E14E-482A-8CB9-C780BC21CFAC}" sibTransId="{F1B726AB-9ECD-40EA-B168-74810F19347D}"/>
    <dgm:cxn modelId="{B32C09C9-7C0C-4E6C-A269-0C399D198682}" srcId="{30E89ADC-1ACB-4051-949E-B3A080733725}" destId="{727EA98F-658D-4706-8975-4A9461F8E95C}" srcOrd="0" destOrd="0" parTransId="{86197026-8B72-4288-A6C1-0516547DEDBB}" sibTransId="{59B6DE71-446A-49A0-AD33-71617A19187D}"/>
    <dgm:cxn modelId="{8E0D47C9-BD13-45B0-8DEF-43F53F3A286D}" type="presOf" srcId="{727EA98F-658D-4706-8975-4A9461F8E95C}" destId="{23DC21AE-51CE-45B9-B482-577CF39D79EE}" srcOrd="1" destOrd="0" presId="urn:microsoft.com/office/officeart/2005/8/layout/orgChart1"/>
    <dgm:cxn modelId="{A00908B0-0183-4B5B-92BE-A8D16727974C}" type="presOf" srcId="{817F9532-3DB9-4C3E-BFFF-4DCC7E0D8B82}" destId="{06279BD5-13EB-408B-81BB-5056A6B0767C}" srcOrd="0" destOrd="0" presId="urn:microsoft.com/office/officeart/2005/8/layout/orgChart1"/>
    <dgm:cxn modelId="{537607F4-D5C5-4DA1-81ED-CFCF05828CC2}" srcId="{30E89ADC-1ACB-4051-949E-B3A080733725}" destId="{45D393F3-40AB-4F69-B002-7F2294263382}" srcOrd="1" destOrd="0" parTransId="{A08B3A8E-79EF-46A1-ADD0-B06AFC810783}" sibTransId="{25D1598E-C13E-40CD-B9C6-C1BDE2626FE5}"/>
    <dgm:cxn modelId="{57A8BB94-B494-459A-93D5-88CA13AD3D67}" type="presOf" srcId="{86197026-8B72-4288-A6C1-0516547DEDBB}" destId="{73CA7DD3-5C7F-4960-BD49-24D05926414D}" srcOrd="0" destOrd="0" presId="urn:microsoft.com/office/officeart/2005/8/layout/orgChart1"/>
    <dgm:cxn modelId="{44A9E28B-A10E-4683-BF1D-85464074930A}" srcId="{817F9532-3DB9-4C3E-BFFF-4DCC7E0D8B82}" destId="{30E89ADC-1ACB-4051-949E-B3A080733725}" srcOrd="0" destOrd="0" parTransId="{0A6965E7-F064-4413-BA3B-6BF45C8DC5D3}" sibTransId="{EEF29BED-3AA6-4D78-B647-1512AD466F64}"/>
    <dgm:cxn modelId="{4435A58A-2886-4218-816E-666AB49C4627}" type="presOf" srcId="{30E89ADC-1ACB-4051-949E-B3A080733725}" destId="{DE306B15-CF6C-455F-A5E4-71AFA279352E}" srcOrd="0" destOrd="0" presId="urn:microsoft.com/office/officeart/2005/8/layout/orgChart1"/>
    <dgm:cxn modelId="{997D8891-D959-401F-A53E-461AEB90E627}" type="presOf" srcId="{C974CDCB-5042-4F80-8AB1-DA40675A623B}" destId="{DB274A3A-C5A2-48C8-ADF9-DC325C9D778C}" srcOrd="0" destOrd="0" presId="urn:microsoft.com/office/officeart/2005/8/layout/orgChart1"/>
    <dgm:cxn modelId="{5D84C9AA-65AF-4901-9054-52603FF4F997}" type="presOf" srcId="{00867BF0-EAB4-44E6-A3E1-EF1576B2E83D}" destId="{1F57466B-7719-46F1-9FA4-C69A52665BC8}" srcOrd="1" destOrd="0" presId="urn:microsoft.com/office/officeart/2005/8/layout/orgChart1"/>
    <dgm:cxn modelId="{EA399429-9663-4550-A350-D07E9DE7DED0}" type="presOf" srcId="{A08B3A8E-79EF-46A1-ADD0-B06AFC810783}" destId="{BF3A7D53-0C98-44C9-8833-FB942D81386E}" srcOrd="0" destOrd="0" presId="urn:microsoft.com/office/officeart/2005/8/layout/orgChart1"/>
    <dgm:cxn modelId="{2EA1044D-314A-4FD1-9094-C3DD5A071BC6}" srcId="{45D393F3-40AB-4F69-B002-7F2294263382}" destId="{00867BF0-EAB4-44E6-A3E1-EF1576B2E83D}" srcOrd="0" destOrd="0" parTransId="{C974CDCB-5042-4F80-8AB1-DA40675A623B}" sibTransId="{0D91205C-3374-4EA8-A25E-60EBF8BC3713}"/>
    <dgm:cxn modelId="{198FBD8C-3A26-4CFE-9023-DD58383FFE2D}" type="presOf" srcId="{15E0F8F4-2345-4FC4-9AAE-FC30AB21B93F}" destId="{7275974E-7D40-4D14-AFE7-277488C965D9}" srcOrd="0" destOrd="0" presId="urn:microsoft.com/office/officeart/2005/8/layout/orgChart1"/>
    <dgm:cxn modelId="{3BFA06B4-13A1-4C63-B36B-5F41C5F1080C}" type="presOf" srcId="{727EA98F-658D-4706-8975-4A9461F8E95C}" destId="{D9928641-34BF-4400-A4B8-6F84764DA3FC}" srcOrd="0" destOrd="0" presId="urn:microsoft.com/office/officeart/2005/8/layout/orgChart1"/>
    <dgm:cxn modelId="{AEF934C8-1400-4676-85A4-013678985EA1}" type="presOf" srcId="{15E0F8F4-2345-4FC4-9AAE-FC30AB21B93F}" destId="{E61CEF01-F04C-4DF7-839F-FB160082BAF0}" srcOrd="1" destOrd="0" presId="urn:microsoft.com/office/officeart/2005/8/layout/orgChart1"/>
    <dgm:cxn modelId="{5E289660-E642-4FF2-A1FC-72C73C4316F8}" type="presParOf" srcId="{06279BD5-13EB-408B-81BB-5056A6B0767C}" destId="{53C09A99-E0A2-484F-8131-A3BDEE188C99}" srcOrd="0" destOrd="0" presId="urn:microsoft.com/office/officeart/2005/8/layout/orgChart1"/>
    <dgm:cxn modelId="{0EAA884C-FBD8-4161-B452-15216F56699B}" type="presParOf" srcId="{53C09A99-E0A2-484F-8131-A3BDEE188C99}" destId="{44E33529-88A9-41B9-87AE-644A2104E64A}" srcOrd="0" destOrd="0" presId="urn:microsoft.com/office/officeart/2005/8/layout/orgChart1"/>
    <dgm:cxn modelId="{89531A91-02BB-401F-9A47-CB8B2166125C}" type="presParOf" srcId="{44E33529-88A9-41B9-87AE-644A2104E64A}" destId="{DE306B15-CF6C-455F-A5E4-71AFA279352E}" srcOrd="0" destOrd="0" presId="urn:microsoft.com/office/officeart/2005/8/layout/orgChart1"/>
    <dgm:cxn modelId="{D057D5B0-C72E-4EE0-BD53-8A22445C7A91}" type="presParOf" srcId="{44E33529-88A9-41B9-87AE-644A2104E64A}" destId="{62E15CF3-008C-436C-8C38-F6D4EDF39AF2}" srcOrd="1" destOrd="0" presId="urn:microsoft.com/office/officeart/2005/8/layout/orgChart1"/>
    <dgm:cxn modelId="{D38795AC-0F8C-467D-931C-564F274E2440}" type="presParOf" srcId="{53C09A99-E0A2-484F-8131-A3BDEE188C99}" destId="{DEFAFE16-CAA0-4518-8FB6-4AFC8E8E9B1E}" srcOrd="1" destOrd="0" presId="urn:microsoft.com/office/officeart/2005/8/layout/orgChart1"/>
    <dgm:cxn modelId="{385A063F-F272-42F5-8697-ED9D472F5CA0}" type="presParOf" srcId="{DEFAFE16-CAA0-4518-8FB6-4AFC8E8E9B1E}" destId="{73CA7DD3-5C7F-4960-BD49-24D05926414D}" srcOrd="0" destOrd="0" presId="urn:microsoft.com/office/officeart/2005/8/layout/orgChart1"/>
    <dgm:cxn modelId="{6E4255A9-BE49-4A1A-86F3-09022A873E70}" type="presParOf" srcId="{DEFAFE16-CAA0-4518-8FB6-4AFC8E8E9B1E}" destId="{98F6C8DB-E194-4260-BB1C-0BB0E90807A8}" srcOrd="1" destOrd="0" presId="urn:microsoft.com/office/officeart/2005/8/layout/orgChart1"/>
    <dgm:cxn modelId="{8F2205A4-64DC-43E6-874D-BEF0FD41DC3D}" type="presParOf" srcId="{98F6C8DB-E194-4260-BB1C-0BB0E90807A8}" destId="{5A32FCC4-63CD-4456-81BF-E4AE2F272CB0}" srcOrd="0" destOrd="0" presId="urn:microsoft.com/office/officeart/2005/8/layout/orgChart1"/>
    <dgm:cxn modelId="{1FCCBDBD-C117-411F-AD3D-9B5E290E6975}" type="presParOf" srcId="{5A32FCC4-63CD-4456-81BF-E4AE2F272CB0}" destId="{D9928641-34BF-4400-A4B8-6F84764DA3FC}" srcOrd="0" destOrd="0" presId="urn:microsoft.com/office/officeart/2005/8/layout/orgChart1"/>
    <dgm:cxn modelId="{6A4C688D-E526-479F-9601-043D518463A4}" type="presParOf" srcId="{5A32FCC4-63CD-4456-81BF-E4AE2F272CB0}" destId="{23DC21AE-51CE-45B9-B482-577CF39D79EE}" srcOrd="1" destOrd="0" presId="urn:microsoft.com/office/officeart/2005/8/layout/orgChart1"/>
    <dgm:cxn modelId="{8FACF4AF-61FD-4D9D-9787-64C21F62FD50}" type="presParOf" srcId="{98F6C8DB-E194-4260-BB1C-0BB0E90807A8}" destId="{CF42C162-D9AA-4411-81F3-F186B7C4C571}" srcOrd="1" destOrd="0" presId="urn:microsoft.com/office/officeart/2005/8/layout/orgChart1"/>
    <dgm:cxn modelId="{7D0A478D-3A27-4490-873B-D0DDE83BE616}" type="presParOf" srcId="{98F6C8DB-E194-4260-BB1C-0BB0E90807A8}" destId="{ED289283-D6C9-4A49-9E49-00163E394CC4}" srcOrd="2" destOrd="0" presId="urn:microsoft.com/office/officeart/2005/8/layout/orgChart1"/>
    <dgm:cxn modelId="{55F2455F-5F70-485A-88DB-8191E3490F11}" type="presParOf" srcId="{DEFAFE16-CAA0-4518-8FB6-4AFC8E8E9B1E}" destId="{BF3A7D53-0C98-44C9-8833-FB942D81386E}" srcOrd="2" destOrd="0" presId="urn:microsoft.com/office/officeart/2005/8/layout/orgChart1"/>
    <dgm:cxn modelId="{EBF90CFD-6ED1-4F4A-A32A-A7E0D0EFE55F}" type="presParOf" srcId="{DEFAFE16-CAA0-4518-8FB6-4AFC8E8E9B1E}" destId="{4237010D-BF32-44D5-8294-7C11407F76D2}" srcOrd="3" destOrd="0" presId="urn:microsoft.com/office/officeart/2005/8/layout/orgChart1"/>
    <dgm:cxn modelId="{28C6262C-1FEE-4230-B9B9-BED0ED97F152}" type="presParOf" srcId="{4237010D-BF32-44D5-8294-7C11407F76D2}" destId="{F47F9780-8706-458F-A590-953DD86D8EBD}" srcOrd="0" destOrd="0" presId="urn:microsoft.com/office/officeart/2005/8/layout/orgChart1"/>
    <dgm:cxn modelId="{50CE795D-A769-4A71-B502-79303E241BA8}" type="presParOf" srcId="{F47F9780-8706-458F-A590-953DD86D8EBD}" destId="{959CABDD-4011-4198-9C9D-A75328714053}" srcOrd="0" destOrd="0" presId="urn:microsoft.com/office/officeart/2005/8/layout/orgChart1"/>
    <dgm:cxn modelId="{F11E5660-983E-4201-A813-009DF1DB9A39}" type="presParOf" srcId="{F47F9780-8706-458F-A590-953DD86D8EBD}" destId="{BE3B8EAD-507D-4AE9-92BB-9BB486B0F789}" srcOrd="1" destOrd="0" presId="urn:microsoft.com/office/officeart/2005/8/layout/orgChart1"/>
    <dgm:cxn modelId="{457E84AB-1D42-4EDE-8A95-6AEE62D1DE08}" type="presParOf" srcId="{4237010D-BF32-44D5-8294-7C11407F76D2}" destId="{40F6FD16-0FD4-438B-B55B-8D2FB4CA92DF}" srcOrd="1" destOrd="0" presId="urn:microsoft.com/office/officeart/2005/8/layout/orgChart1"/>
    <dgm:cxn modelId="{7BE76AC6-9C3D-473E-8BB0-F0BB51346282}" type="presParOf" srcId="{4237010D-BF32-44D5-8294-7C11407F76D2}" destId="{06841CF5-AF9A-4FAE-906E-6361380652FC}" srcOrd="2" destOrd="0" presId="urn:microsoft.com/office/officeart/2005/8/layout/orgChart1"/>
    <dgm:cxn modelId="{E964D02C-EBC7-4E92-80C8-D2F2350DCEE6}" type="presParOf" srcId="{06841CF5-AF9A-4FAE-906E-6361380652FC}" destId="{DB274A3A-C5A2-48C8-ADF9-DC325C9D778C}" srcOrd="0" destOrd="0" presId="urn:microsoft.com/office/officeart/2005/8/layout/orgChart1"/>
    <dgm:cxn modelId="{6FE0C362-88AA-4DBE-8D12-121F37A87046}" type="presParOf" srcId="{06841CF5-AF9A-4FAE-906E-6361380652FC}" destId="{6DDA6DCF-042E-443C-997F-E5573ED310A0}" srcOrd="1" destOrd="0" presId="urn:microsoft.com/office/officeart/2005/8/layout/orgChart1"/>
    <dgm:cxn modelId="{686F7F62-8A87-4232-B207-9E61A17996D6}" type="presParOf" srcId="{6DDA6DCF-042E-443C-997F-E5573ED310A0}" destId="{E5116A5E-7899-45C1-B9B0-B3AA0339960B}" srcOrd="0" destOrd="0" presId="urn:microsoft.com/office/officeart/2005/8/layout/orgChart1"/>
    <dgm:cxn modelId="{1228C679-9920-45DB-9CC8-877ECD04881F}" type="presParOf" srcId="{E5116A5E-7899-45C1-B9B0-B3AA0339960B}" destId="{4C306C29-154C-439F-8AF2-46473CBE9CBE}" srcOrd="0" destOrd="0" presId="urn:microsoft.com/office/officeart/2005/8/layout/orgChart1"/>
    <dgm:cxn modelId="{47F6B0F0-DBC2-4E45-84F2-02931327C70A}" type="presParOf" srcId="{E5116A5E-7899-45C1-B9B0-B3AA0339960B}" destId="{1F57466B-7719-46F1-9FA4-C69A52665BC8}" srcOrd="1" destOrd="0" presId="urn:microsoft.com/office/officeart/2005/8/layout/orgChart1"/>
    <dgm:cxn modelId="{7DFB658B-4490-450C-B2A0-3FDEDC2D6AE9}" type="presParOf" srcId="{6DDA6DCF-042E-443C-997F-E5573ED310A0}" destId="{9DA44DC2-35D3-4EBB-873E-2FD32B9074C1}" srcOrd="1" destOrd="0" presId="urn:microsoft.com/office/officeart/2005/8/layout/orgChart1"/>
    <dgm:cxn modelId="{DC307855-B1A7-442E-A4A2-9B5D76FEC3F4}" type="presParOf" srcId="{6DDA6DCF-042E-443C-997F-E5573ED310A0}" destId="{FD5D3D0B-0F3F-4529-90D5-973FD65A8F9C}" srcOrd="2" destOrd="0" presId="urn:microsoft.com/office/officeart/2005/8/layout/orgChart1"/>
    <dgm:cxn modelId="{3566D6DB-06E2-4F9B-A031-3DE029E6630D}" type="presParOf" srcId="{06841CF5-AF9A-4FAE-906E-6361380652FC}" destId="{65FAC8C7-B108-47E9-97A4-93C4B8EC253B}" srcOrd="2" destOrd="0" presId="urn:microsoft.com/office/officeart/2005/8/layout/orgChart1"/>
    <dgm:cxn modelId="{1F960611-EE68-49E8-AF30-849BDCD8D62B}" type="presParOf" srcId="{06841CF5-AF9A-4FAE-906E-6361380652FC}" destId="{06594654-AA58-4670-B884-E5F84E2AAF1B}" srcOrd="3" destOrd="0" presId="urn:microsoft.com/office/officeart/2005/8/layout/orgChart1"/>
    <dgm:cxn modelId="{BF102BD0-D63D-4A8F-8024-4C2E349A6D9B}" type="presParOf" srcId="{06594654-AA58-4670-B884-E5F84E2AAF1B}" destId="{42E84550-223A-425F-A29B-128FDE2D753C}" srcOrd="0" destOrd="0" presId="urn:microsoft.com/office/officeart/2005/8/layout/orgChart1"/>
    <dgm:cxn modelId="{3D993FB3-04EF-454C-AD44-F67548D7ED15}" type="presParOf" srcId="{42E84550-223A-425F-A29B-128FDE2D753C}" destId="{7275974E-7D40-4D14-AFE7-277488C965D9}" srcOrd="0" destOrd="0" presId="urn:microsoft.com/office/officeart/2005/8/layout/orgChart1"/>
    <dgm:cxn modelId="{6AB70A1E-80FE-450D-9601-27CA9815FDE5}" type="presParOf" srcId="{42E84550-223A-425F-A29B-128FDE2D753C}" destId="{E61CEF01-F04C-4DF7-839F-FB160082BAF0}" srcOrd="1" destOrd="0" presId="urn:microsoft.com/office/officeart/2005/8/layout/orgChart1"/>
    <dgm:cxn modelId="{7CA41052-1D78-4D4F-AE86-4B5A3205E7AE}" type="presParOf" srcId="{06594654-AA58-4670-B884-E5F84E2AAF1B}" destId="{030F1B42-9149-4594-B08B-BE85AB1F7B1D}" srcOrd="1" destOrd="0" presId="urn:microsoft.com/office/officeart/2005/8/layout/orgChart1"/>
    <dgm:cxn modelId="{83C0E1BA-C468-4EFE-BA97-C902C74A8A44}" type="presParOf" srcId="{06594654-AA58-4670-B884-E5F84E2AAF1B}" destId="{4D9602CA-BF6D-4FB6-99F3-0EDB3B15440C}" srcOrd="2" destOrd="0" presId="urn:microsoft.com/office/officeart/2005/8/layout/orgChart1"/>
    <dgm:cxn modelId="{15F52F41-7F83-47B2-B072-6A414D82AE94}" type="presParOf" srcId="{53C09A99-E0A2-484F-8131-A3BDEE188C99}" destId="{3A0F587D-A01A-492D-986C-94B37447EBD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FAC8C7-B108-47E9-97A4-93C4B8EC253B}">
      <dsp:nvSpPr>
        <dsp:cNvPr id="0" name=""/>
        <dsp:cNvSpPr/>
      </dsp:nvSpPr>
      <dsp:spPr>
        <a:xfrm>
          <a:off x="4412545" y="1560830"/>
          <a:ext cx="441285" cy="593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3092"/>
              </a:lnTo>
              <a:lnTo>
                <a:pt x="441285" y="5930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74A3A-C5A2-48C8-ADF9-DC325C9D778C}">
      <dsp:nvSpPr>
        <dsp:cNvPr id="0" name=""/>
        <dsp:cNvSpPr/>
      </dsp:nvSpPr>
      <dsp:spPr>
        <a:xfrm>
          <a:off x="3922719" y="1560830"/>
          <a:ext cx="489825" cy="594412"/>
        </a:xfrm>
        <a:custGeom>
          <a:avLst/>
          <a:gdLst/>
          <a:ahLst/>
          <a:cxnLst/>
          <a:rect l="0" t="0" r="0" b="0"/>
          <a:pathLst>
            <a:path>
              <a:moveTo>
                <a:pt x="489825" y="0"/>
              </a:moveTo>
              <a:lnTo>
                <a:pt x="489825" y="594412"/>
              </a:lnTo>
              <a:lnTo>
                <a:pt x="0" y="59441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3A7D53-0C98-44C9-8833-FB942D81386E}">
      <dsp:nvSpPr>
        <dsp:cNvPr id="0" name=""/>
        <dsp:cNvSpPr/>
      </dsp:nvSpPr>
      <dsp:spPr>
        <a:xfrm>
          <a:off x="2714913" y="645948"/>
          <a:ext cx="1697632" cy="2705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93"/>
              </a:lnTo>
              <a:lnTo>
                <a:pt x="1697632" y="135293"/>
              </a:lnTo>
              <a:lnTo>
                <a:pt x="1697632" y="27059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CA7DD3-5C7F-4960-BD49-24D05926414D}">
      <dsp:nvSpPr>
        <dsp:cNvPr id="0" name=""/>
        <dsp:cNvSpPr/>
      </dsp:nvSpPr>
      <dsp:spPr>
        <a:xfrm>
          <a:off x="1097726" y="645948"/>
          <a:ext cx="1617186" cy="270600"/>
        </a:xfrm>
        <a:custGeom>
          <a:avLst/>
          <a:gdLst/>
          <a:ahLst/>
          <a:cxnLst/>
          <a:rect l="0" t="0" r="0" b="0"/>
          <a:pathLst>
            <a:path>
              <a:moveTo>
                <a:pt x="1617186" y="0"/>
              </a:moveTo>
              <a:lnTo>
                <a:pt x="1617186" y="135300"/>
              </a:lnTo>
              <a:lnTo>
                <a:pt x="0" y="135300"/>
              </a:lnTo>
              <a:lnTo>
                <a:pt x="0" y="27060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06B15-CF6C-455F-A5E4-71AFA279352E}">
      <dsp:nvSpPr>
        <dsp:cNvPr id="0" name=""/>
        <dsp:cNvSpPr/>
      </dsp:nvSpPr>
      <dsp:spPr>
        <a:xfrm>
          <a:off x="1931711" y="1661"/>
          <a:ext cx="1566404" cy="6442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Drug</a:t>
          </a:r>
          <a:r>
            <a:rPr lang="en-US" sz="14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en-US" sz="1400" b="1" kern="1200">
              <a:latin typeface="Times New Roman" pitchFamily="18" charset="0"/>
              <a:cs typeface="Times New Roman" pitchFamily="18" charset="0"/>
            </a:rPr>
            <a:t>Interactions</a:t>
          </a:r>
        </a:p>
      </dsp:txBody>
      <dsp:txXfrm>
        <a:off x="1931711" y="1661"/>
        <a:ext cx="1566404" cy="644287"/>
      </dsp:txXfrm>
    </dsp:sp>
    <dsp:sp modelId="{D9928641-34BF-4400-A4B8-6F84764DA3FC}">
      <dsp:nvSpPr>
        <dsp:cNvPr id="0" name=""/>
        <dsp:cNvSpPr/>
      </dsp:nvSpPr>
      <dsp:spPr>
        <a:xfrm>
          <a:off x="453438" y="916549"/>
          <a:ext cx="1288574" cy="6442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In vitro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pharmaceutical interactions</a:t>
          </a:r>
        </a:p>
      </dsp:txBody>
      <dsp:txXfrm>
        <a:off x="453438" y="916549"/>
        <a:ext cx="1288574" cy="644287"/>
      </dsp:txXfrm>
    </dsp:sp>
    <dsp:sp modelId="{959CABDD-4011-4198-9C9D-A75328714053}">
      <dsp:nvSpPr>
        <dsp:cNvPr id="0" name=""/>
        <dsp:cNvSpPr/>
      </dsp:nvSpPr>
      <dsp:spPr>
        <a:xfrm>
          <a:off x="3768258" y="916542"/>
          <a:ext cx="1288574" cy="6442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In vivo</a:t>
          </a:r>
        </a:p>
      </dsp:txBody>
      <dsp:txXfrm>
        <a:off x="3768258" y="916542"/>
        <a:ext cx="1288574" cy="644287"/>
      </dsp:txXfrm>
    </dsp:sp>
    <dsp:sp modelId="{4C306C29-154C-439F-8AF2-46473CBE9CBE}">
      <dsp:nvSpPr>
        <dsp:cNvPr id="0" name=""/>
        <dsp:cNvSpPr/>
      </dsp:nvSpPr>
      <dsp:spPr>
        <a:xfrm>
          <a:off x="2634145" y="1833098"/>
          <a:ext cx="1288574" cy="6442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pharmacokinetic interactions</a:t>
          </a:r>
        </a:p>
      </dsp:txBody>
      <dsp:txXfrm>
        <a:off x="2634145" y="1833098"/>
        <a:ext cx="1288574" cy="644287"/>
      </dsp:txXfrm>
    </dsp:sp>
    <dsp:sp modelId="{7275974E-7D40-4D14-AFE7-277488C965D9}">
      <dsp:nvSpPr>
        <dsp:cNvPr id="0" name=""/>
        <dsp:cNvSpPr/>
      </dsp:nvSpPr>
      <dsp:spPr>
        <a:xfrm>
          <a:off x="4853831" y="1831778"/>
          <a:ext cx="1288574" cy="6442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pharmacokinetic interactions</a:t>
          </a:r>
        </a:p>
      </dsp:txBody>
      <dsp:txXfrm>
        <a:off x="4853831" y="1831778"/>
        <a:ext cx="1288574" cy="6442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12</cp:revision>
  <dcterms:created xsi:type="dcterms:W3CDTF">2020-12-02T15:05:00Z</dcterms:created>
  <dcterms:modified xsi:type="dcterms:W3CDTF">2020-12-04T07:04:00Z</dcterms:modified>
</cp:coreProperties>
</file>