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92405B" w14:textId="77777777" w:rsidR="00B9699E" w:rsidRDefault="00B9699E" w:rsidP="00BB28DB">
      <w:pPr>
        <w:jc w:val="right"/>
        <w:rPr>
          <w:rFonts w:asciiTheme="majorBidi" w:hAnsiTheme="majorBidi" w:cstheme="majorBidi" w:hint="cs"/>
          <w:color w:val="FF0000"/>
          <w:sz w:val="28"/>
          <w:szCs w:val="28"/>
          <w:lang w:bidi="ar-IQ"/>
        </w:rPr>
      </w:pPr>
    </w:p>
    <w:p w14:paraId="1BAD7B89" w14:textId="041EEBDE" w:rsidR="001C4263" w:rsidRPr="00846E72" w:rsidRDefault="001C4263" w:rsidP="00072E11">
      <w:pPr>
        <w:spacing w:line="360" w:lineRule="auto"/>
        <w:jc w:val="right"/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</w:pPr>
      <w:r w:rsidRPr="00846E7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Lecture </w:t>
      </w:r>
      <w:r w:rsidR="000820B5" w:rsidRPr="00846E7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two:</w:t>
      </w:r>
      <w:r w:rsidRPr="00846E7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 </w:t>
      </w:r>
      <w:r w:rsidR="00BB28DB" w:rsidRPr="00846E7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 xml:space="preserve"> A</w:t>
      </w:r>
      <w:r w:rsidR="009E2191" w:rsidRPr="00846E72">
        <w:rPr>
          <w:rFonts w:asciiTheme="majorBidi" w:hAnsiTheme="majorBidi" w:cstheme="majorBidi"/>
          <w:b/>
          <w:bCs/>
          <w:color w:val="FF0000"/>
          <w:sz w:val="28"/>
          <w:szCs w:val="28"/>
          <w:lang w:bidi="ar-IQ"/>
        </w:rPr>
        <w:t>nticoagulants used in hematology laboratory</w:t>
      </w:r>
    </w:p>
    <w:p w14:paraId="2DFC1537" w14:textId="58DF3013" w:rsidR="008D4D74" w:rsidRPr="00B9699E" w:rsidRDefault="001C4263" w:rsidP="00072E11">
      <w:pPr>
        <w:spacing w:line="360" w:lineRule="auto"/>
        <w:ind w:left="-668" w:firstLine="668"/>
        <w:jc w:val="right"/>
        <w:rPr>
          <w:color w:val="FF0000"/>
          <w:sz w:val="28"/>
          <w:szCs w:val="28"/>
        </w:rPr>
      </w:pPr>
      <w:r w:rsidRPr="00E51965">
        <w:rPr>
          <w:rFonts w:asciiTheme="majorBidi" w:hAnsiTheme="majorBidi" w:cstheme="majorBidi"/>
          <w:color w:val="000000"/>
          <w:sz w:val="28"/>
          <w:szCs w:val="28"/>
        </w:rPr>
        <w:t>Anticoagulants are the Chemical substances that prevent the blood from clotting when mixed with inappropriate concentration with the Blood Specimen.</w:t>
      </w:r>
      <w:r w:rsidR="00072E11" w:rsidRPr="00B9699E">
        <w:rPr>
          <w:b/>
          <w:bCs/>
          <w:i/>
          <w:iCs/>
          <w:color w:val="FF0000"/>
          <w:sz w:val="28"/>
          <w:szCs w:val="28"/>
        </w:rPr>
        <w:t xml:space="preserve"> </w:t>
      </w:r>
      <w:r w:rsidR="008D4D74" w:rsidRPr="00B9699E">
        <w:rPr>
          <w:b/>
          <w:bCs/>
          <w:i/>
          <w:iCs/>
          <w:color w:val="FF0000"/>
          <w:sz w:val="28"/>
          <w:szCs w:val="28"/>
        </w:rPr>
        <w:t>Anticoagulant materials in the laboratory Uses</w:t>
      </w:r>
      <w:r w:rsidR="008D4D74" w:rsidRPr="00B9699E">
        <w:rPr>
          <w:color w:val="FF0000"/>
          <w:sz w:val="28"/>
          <w:szCs w:val="28"/>
        </w:rPr>
        <w:t xml:space="preserve">: </w:t>
      </w:r>
    </w:p>
    <w:p w14:paraId="3AC6B646" w14:textId="20378E7B" w:rsidR="008D4D74" w:rsidRPr="00B9699E" w:rsidRDefault="008D4D74" w:rsidP="00072E11">
      <w:pPr>
        <w:pStyle w:val="Default"/>
        <w:spacing w:line="360" w:lineRule="auto"/>
        <w:ind w:left="-668" w:firstLine="668"/>
        <w:rPr>
          <w:color w:val="7030A0"/>
          <w:sz w:val="28"/>
          <w:szCs w:val="28"/>
        </w:rPr>
      </w:pPr>
      <w:r w:rsidRPr="00B9699E">
        <w:rPr>
          <w:rFonts w:asciiTheme="majorBidi" w:hAnsiTheme="majorBidi" w:cstheme="majorBidi"/>
          <w:color w:val="7030A0"/>
          <w:sz w:val="28"/>
          <w:szCs w:val="28"/>
        </w:rPr>
        <w:t>Every anticoagulant is added in fixed proportion to blood</w:t>
      </w:r>
      <w:r w:rsidRPr="00B9699E">
        <w:rPr>
          <w:color w:val="7030A0"/>
          <w:sz w:val="28"/>
          <w:szCs w:val="28"/>
        </w:rPr>
        <w:t xml:space="preserve"> </w:t>
      </w:r>
    </w:p>
    <w:p w14:paraId="744B665B" w14:textId="77777777" w:rsidR="008D4D74" w:rsidRPr="00B9699E" w:rsidRDefault="008D4D74" w:rsidP="00072E11">
      <w:pPr>
        <w:pStyle w:val="Default"/>
        <w:spacing w:line="360" w:lineRule="auto"/>
        <w:ind w:left="-668" w:firstLine="668"/>
        <w:rPr>
          <w:color w:val="7030A0"/>
          <w:sz w:val="28"/>
          <w:szCs w:val="28"/>
        </w:rPr>
      </w:pPr>
      <w:r w:rsidRPr="00B9699E">
        <w:rPr>
          <w:color w:val="7030A0"/>
          <w:sz w:val="28"/>
          <w:szCs w:val="28"/>
        </w:rPr>
        <w:t xml:space="preserve">-They used for obtain plasma. </w:t>
      </w:r>
    </w:p>
    <w:p w14:paraId="0BA2A37A" w14:textId="77777777" w:rsidR="008D4D74" w:rsidRPr="00B9699E" w:rsidRDefault="008D4D74" w:rsidP="00072E11">
      <w:pPr>
        <w:pStyle w:val="Default"/>
        <w:spacing w:line="360" w:lineRule="auto"/>
        <w:ind w:left="-668" w:firstLine="668"/>
        <w:rPr>
          <w:color w:val="7030A0"/>
          <w:sz w:val="28"/>
          <w:szCs w:val="28"/>
        </w:rPr>
      </w:pPr>
      <w:r w:rsidRPr="00B9699E">
        <w:rPr>
          <w:color w:val="7030A0"/>
          <w:sz w:val="28"/>
          <w:szCs w:val="28"/>
        </w:rPr>
        <w:t xml:space="preserve">-Its uses only in vitro (outside of the body). </w:t>
      </w:r>
    </w:p>
    <w:p w14:paraId="796640E1" w14:textId="77777777" w:rsidR="008D4D74" w:rsidRPr="00B9699E" w:rsidRDefault="008D4D74" w:rsidP="00072E11">
      <w:pPr>
        <w:pStyle w:val="Default"/>
        <w:spacing w:line="360" w:lineRule="auto"/>
        <w:ind w:left="-668" w:firstLine="668"/>
        <w:rPr>
          <w:color w:val="7030A0"/>
          <w:sz w:val="28"/>
          <w:szCs w:val="28"/>
        </w:rPr>
      </w:pPr>
      <w:r w:rsidRPr="00B9699E">
        <w:rPr>
          <w:color w:val="7030A0"/>
          <w:sz w:val="28"/>
          <w:szCs w:val="28"/>
        </w:rPr>
        <w:t xml:space="preserve">-They are toxic </w:t>
      </w:r>
    </w:p>
    <w:p w14:paraId="62D3F577" w14:textId="77777777" w:rsidR="008D4D74" w:rsidRPr="00B9699E" w:rsidRDefault="008D4D74" w:rsidP="00072E11">
      <w:pPr>
        <w:pStyle w:val="Default"/>
        <w:spacing w:line="360" w:lineRule="auto"/>
        <w:ind w:left="-668" w:firstLine="668"/>
        <w:rPr>
          <w:color w:val="7030A0"/>
          <w:sz w:val="28"/>
          <w:szCs w:val="28"/>
        </w:rPr>
      </w:pPr>
      <w:r w:rsidRPr="00B9699E">
        <w:rPr>
          <w:b/>
          <w:bCs/>
          <w:color w:val="7030A0"/>
          <w:sz w:val="28"/>
          <w:szCs w:val="28"/>
        </w:rPr>
        <w:t xml:space="preserve">Action: </w:t>
      </w:r>
      <w:r w:rsidRPr="00B9699E">
        <w:rPr>
          <w:color w:val="7030A0"/>
          <w:sz w:val="28"/>
          <w:szCs w:val="28"/>
        </w:rPr>
        <w:t xml:space="preserve">their act to stop blood-clotting mechanism in vitro. </w:t>
      </w:r>
    </w:p>
    <w:p w14:paraId="787CCEA3" w14:textId="77777777" w:rsidR="008D4D74" w:rsidRPr="00755F10" w:rsidRDefault="008D4D74" w:rsidP="00072E11">
      <w:pPr>
        <w:pStyle w:val="Default"/>
        <w:spacing w:line="360" w:lineRule="auto"/>
        <w:ind w:left="-668" w:firstLine="668"/>
        <w:rPr>
          <w:color w:val="FF0000"/>
          <w:sz w:val="32"/>
          <w:szCs w:val="32"/>
        </w:rPr>
      </w:pPr>
      <w:r w:rsidRPr="00755F10">
        <w:rPr>
          <w:b/>
          <w:bCs/>
          <w:color w:val="FF0000"/>
          <w:sz w:val="32"/>
          <w:szCs w:val="32"/>
        </w:rPr>
        <w:t xml:space="preserve">Common Anticoagulant Materials </w:t>
      </w:r>
    </w:p>
    <w:p w14:paraId="67103F72" w14:textId="77777777" w:rsidR="008D4D74" w:rsidRPr="00755F10" w:rsidRDefault="008D4D74" w:rsidP="00072E11">
      <w:pPr>
        <w:pStyle w:val="Default"/>
        <w:spacing w:line="360" w:lineRule="auto"/>
        <w:ind w:left="-668" w:firstLine="668"/>
        <w:rPr>
          <w:color w:val="00B050"/>
          <w:sz w:val="28"/>
          <w:szCs w:val="28"/>
        </w:rPr>
      </w:pPr>
      <w:r w:rsidRPr="00755F10">
        <w:rPr>
          <w:color w:val="00B050"/>
          <w:sz w:val="28"/>
          <w:szCs w:val="28"/>
        </w:rPr>
        <w:t xml:space="preserve">The common anticoagulant materials, which used in the daily lab’s work for hematological purposes, some are the following: </w:t>
      </w:r>
    </w:p>
    <w:p w14:paraId="39B41506" w14:textId="63F96AF0" w:rsidR="008D4D74" w:rsidRPr="00755F10" w:rsidRDefault="008D4D74" w:rsidP="00072E11">
      <w:pPr>
        <w:pStyle w:val="Default"/>
        <w:numPr>
          <w:ilvl w:val="0"/>
          <w:numId w:val="24"/>
        </w:numPr>
        <w:spacing w:line="360" w:lineRule="auto"/>
        <w:rPr>
          <w:color w:val="00B050"/>
          <w:sz w:val="28"/>
          <w:szCs w:val="28"/>
        </w:rPr>
      </w:pPr>
      <w:r w:rsidRPr="00755F10">
        <w:rPr>
          <w:color w:val="00B050"/>
          <w:sz w:val="28"/>
          <w:szCs w:val="28"/>
        </w:rPr>
        <w:t>EDTA= (</w:t>
      </w:r>
      <w:proofErr w:type="spellStart"/>
      <w:r w:rsidRPr="00755F10">
        <w:rPr>
          <w:color w:val="00B050"/>
          <w:sz w:val="28"/>
          <w:szCs w:val="28"/>
        </w:rPr>
        <w:t>Ethtylene</w:t>
      </w:r>
      <w:proofErr w:type="spellEnd"/>
      <w:r w:rsidRPr="00755F10">
        <w:rPr>
          <w:color w:val="00B050"/>
          <w:sz w:val="28"/>
          <w:szCs w:val="28"/>
        </w:rPr>
        <w:t xml:space="preserve"> </w:t>
      </w:r>
      <w:proofErr w:type="spellStart"/>
      <w:r w:rsidRPr="00755F10">
        <w:rPr>
          <w:color w:val="00B050"/>
          <w:sz w:val="28"/>
          <w:szCs w:val="28"/>
        </w:rPr>
        <w:t>diamine</w:t>
      </w:r>
      <w:proofErr w:type="spellEnd"/>
      <w:r w:rsidRPr="00755F10">
        <w:rPr>
          <w:color w:val="00B050"/>
          <w:sz w:val="28"/>
          <w:szCs w:val="28"/>
        </w:rPr>
        <w:t xml:space="preserve"> tetra-acetic acid) </w:t>
      </w:r>
    </w:p>
    <w:p w14:paraId="755ED88B" w14:textId="4C975089" w:rsidR="008D4D74" w:rsidRPr="00755F10" w:rsidRDefault="008D4D74" w:rsidP="00072E11">
      <w:pPr>
        <w:pStyle w:val="Default"/>
        <w:numPr>
          <w:ilvl w:val="0"/>
          <w:numId w:val="24"/>
        </w:numPr>
        <w:spacing w:line="360" w:lineRule="auto"/>
        <w:rPr>
          <w:color w:val="00B050"/>
          <w:sz w:val="28"/>
          <w:szCs w:val="28"/>
        </w:rPr>
      </w:pPr>
      <w:r w:rsidRPr="00755F10">
        <w:rPr>
          <w:color w:val="00B050"/>
          <w:sz w:val="28"/>
          <w:szCs w:val="28"/>
        </w:rPr>
        <w:t xml:space="preserve"> Sodium Citrate: (Na3C6H507.2H20) </w:t>
      </w:r>
    </w:p>
    <w:p w14:paraId="52A64E6C" w14:textId="4AD83DA5" w:rsidR="008D4D74" w:rsidRPr="00755F10" w:rsidRDefault="008D4D74" w:rsidP="00072E11">
      <w:pPr>
        <w:pStyle w:val="Default"/>
        <w:numPr>
          <w:ilvl w:val="0"/>
          <w:numId w:val="24"/>
        </w:numPr>
        <w:spacing w:line="360" w:lineRule="auto"/>
        <w:rPr>
          <w:color w:val="00B050"/>
          <w:sz w:val="28"/>
          <w:szCs w:val="28"/>
        </w:rPr>
      </w:pPr>
      <w:r w:rsidRPr="00755F10">
        <w:rPr>
          <w:color w:val="00B050"/>
          <w:sz w:val="28"/>
          <w:szCs w:val="28"/>
        </w:rPr>
        <w:t xml:space="preserve">Buffered citrate (sodium citrate and citric acid) </w:t>
      </w:r>
    </w:p>
    <w:p w14:paraId="6288D3A0" w14:textId="77777777" w:rsidR="00333D8F" w:rsidRDefault="00333D8F" w:rsidP="00072E11">
      <w:pPr>
        <w:pStyle w:val="Default"/>
        <w:numPr>
          <w:ilvl w:val="0"/>
          <w:numId w:val="24"/>
        </w:numPr>
        <w:spacing w:line="360" w:lineRule="auto"/>
        <w:rPr>
          <w:color w:val="00B050"/>
          <w:sz w:val="28"/>
          <w:szCs w:val="28"/>
        </w:rPr>
      </w:pPr>
      <w:r w:rsidRPr="00333D8F">
        <w:rPr>
          <w:color w:val="00B050"/>
          <w:sz w:val="28"/>
          <w:szCs w:val="28"/>
        </w:rPr>
        <w:t xml:space="preserve">Heparin. And </w:t>
      </w:r>
      <w:proofErr w:type="spellStart"/>
      <w:r w:rsidRPr="00333D8F">
        <w:rPr>
          <w:color w:val="00B050"/>
          <w:sz w:val="28"/>
          <w:szCs w:val="28"/>
        </w:rPr>
        <w:t>Wintroub</w:t>
      </w:r>
      <w:proofErr w:type="spellEnd"/>
      <w:r w:rsidRPr="00333D8F">
        <w:rPr>
          <w:color w:val="00B050"/>
          <w:sz w:val="28"/>
          <w:szCs w:val="28"/>
        </w:rPr>
        <w:t xml:space="preserve"> </w:t>
      </w:r>
    </w:p>
    <w:p w14:paraId="4FCBE844" w14:textId="77777777" w:rsidR="00333D8F" w:rsidRPr="00333D8F" w:rsidRDefault="00333D8F" w:rsidP="00072E11">
      <w:pPr>
        <w:pStyle w:val="a5"/>
        <w:numPr>
          <w:ilvl w:val="0"/>
          <w:numId w:val="24"/>
        </w:numPr>
        <w:bidi w:val="0"/>
        <w:spacing w:line="360" w:lineRule="auto"/>
        <w:rPr>
          <w:rFonts w:ascii="Times New Roman" w:hAnsi="Times New Roman" w:cs="Times New Roman"/>
          <w:color w:val="00B050"/>
          <w:sz w:val="28"/>
          <w:szCs w:val="28"/>
        </w:rPr>
      </w:pPr>
      <w:r w:rsidRPr="00333D8F">
        <w:rPr>
          <w:rFonts w:ascii="Times New Roman" w:hAnsi="Times New Roman" w:cs="Times New Roman"/>
          <w:color w:val="00B050"/>
          <w:sz w:val="28"/>
          <w:szCs w:val="28"/>
        </w:rPr>
        <w:t>Oxalates</w:t>
      </w:r>
      <w:r w:rsidRPr="00333D8F">
        <w:rPr>
          <w:rFonts w:ascii="Times New Roman" w:hAnsi="Times New Roman" w:cs="Times New Roman"/>
          <w:color w:val="00B050"/>
          <w:sz w:val="28"/>
          <w:szCs w:val="28"/>
          <w:rtl/>
        </w:rPr>
        <w:t xml:space="preserve"> </w:t>
      </w:r>
    </w:p>
    <w:p w14:paraId="313632AD" w14:textId="77777777" w:rsidR="00072E11" w:rsidRDefault="008D4D74" w:rsidP="00072E11">
      <w:pPr>
        <w:pStyle w:val="Default"/>
        <w:numPr>
          <w:ilvl w:val="0"/>
          <w:numId w:val="24"/>
        </w:numPr>
        <w:spacing w:line="360" w:lineRule="auto"/>
        <w:rPr>
          <w:color w:val="00B050"/>
          <w:sz w:val="28"/>
          <w:szCs w:val="28"/>
        </w:rPr>
      </w:pPr>
      <w:r w:rsidRPr="00755F10">
        <w:rPr>
          <w:color w:val="00B050"/>
          <w:sz w:val="28"/>
          <w:szCs w:val="28"/>
        </w:rPr>
        <w:t xml:space="preserve">Sodium </w:t>
      </w:r>
      <w:proofErr w:type="spellStart"/>
      <w:r w:rsidRPr="00755F10">
        <w:rPr>
          <w:color w:val="00B050"/>
          <w:sz w:val="28"/>
          <w:szCs w:val="28"/>
        </w:rPr>
        <w:t>floride</w:t>
      </w:r>
      <w:proofErr w:type="spellEnd"/>
    </w:p>
    <w:p w14:paraId="41675834" w14:textId="7A86738A" w:rsidR="00002B2F" w:rsidRDefault="00002B2F" w:rsidP="00002B2F">
      <w:pPr>
        <w:pStyle w:val="Default"/>
        <w:spacing w:line="276" w:lineRule="auto"/>
        <w:ind w:left="-668" w:firstLine="668"/>
        <w:rPr>
          <w:color w:val="00B050"/>
          <w:sz w:val="28"/>
          <w:szCs w:val="28"/>
        </w:rPr>
      </w:pPr>
      <w:r>
        <w:rPr>
          <w:noProof/>
          <w:color w:val="00B050"/>
          <w:sz w:val="28"/>
          <w:szCs w:val="28"/>
        </w:rPr>
        <w:drawing>
          <wp:inline distT="0" distB="0" distL="0" distR="0" wp14:anchorId="445D59EC" wp14:editId="47008AE4">
            <wp:extent cx="2619375" cy="2514600"/>
            <wp:effectExtent l="0" t="0" r="9525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130B744A" wp14:editId="64164AD2">
            <wp:extent cx="3105150" cy="2352675"/>
            <wp:effectExtent l="0" t="0" r="0" b="9525"/>
            <wp:docPr id="7" name="صورة 7" descr="C:\Users\ALMadar\Desktop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Madar\Desktop\images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F8BB9" w14:textId="61A000F5" w:rsidR="00002B2F" w:rsidRDefault="00002B2F" w:rsidP="00333D8F">
      <w:pPr>
        <w:pStyle w:val="Default"/>
        <w:spacing w:line="276" w:lineRule="auto"/>
        <w:ind w:left="-668" w:firstLine="668"/>
        <w:rPr>
          <w:color w:val="00B050"/>
          <w:sz w:val="28"/>
          <w:szCs w:val="28"/>
        </w:rPr>
      </w:pPr>
    </w:p>
    <w:p w14:paraId="61512D2D" w14:textId="69A4CB6D" w:rsidR="006247D8" w:rsidRPr="00002B2F" w:rsidRDefault="00202380" w:rsidP="00002B2F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02B2F">
        <w:rPr>
          <w:rFonts w:asciiTheme="majorBidi" w:hAnsiTheme="majorBidi" w:cstheme="majorBidi"/>
          <w:b/>
          <w:bCs/>
          <w:sz w:val="24"/>
          <w:szCs w:val="24"/>
        </w:rPr>
        <w:t>VARIOUS TYPES OF ANTICOAGULA</w:t>
      </w:r>
      <w:r w:rsidR="00002B2F" w:rsidRPr="00002B2F">
        <w:rPr>
          <w:rFonts w:asciiTheme="majorBidi" w:hAnsiTheme="majorBidi" w:cstheme="majorBidi"/>
          <w:b/>
          <w:bCs/>
          <w:sz w:val="24"/>
          <w:szCs w:val="24"/>
        </w:rPr>
        <w:t>NTS WITH VACUTAINER COLOR CODES</w:t>
      </w:r>
    </w:p>
    <w:p w14:paraId="12D73F8E" w14:textId="46AB5D7E" w:rsidR="008D4D74" w:rsidRPr="00333D8F" w:rsidRDefault="008D4D74" w:rsidP="006247D8">
      <w:pPr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333D8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1.</w:t>
      </w:r>
      <w:r w:rsidR="00202380" w:rsidRPr="00333D8F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EDTA – ETHYLENE DIAMMINE TETRAACETIC ACID</w:t>
      </w:r>
    </w:p>
    <w:p w14:paraId="66ADE9F9" w14:textId="77777777" w:rsidR="008D4D74" w:rsidRPr="00B9699E" w:rsidRDefault="008D4D74" w:rsidP="002B2FD8">
      <w:pPr>
        <w:pStyle w:val="Default"/>
        <w:rPr>
          <w:color w:val="FF0000"/>
          <w:sz w:val="28"/>
          <w:szCs w:val="28"/>
        </w:rPr>
      </w:pPr>
      <w:r w:rsidRPr="00B9699E">
        <w:rPr>
          <w:b/>
          <w:bCs/>
          <w:color w:val="0070C0"/>
          <w:sz w:val="28"/>
          <w:szCs w:val="28"/>
        </w:rPr>
        <w:t xml:space="preserve"> EDTA Is a standard hematology anticoagulant because of its</w:t>
      </w:r>
      <w:r w:rsidRPr="00B9699E">
        <w:rPr>
          <w:color w:val="FF0000"/>
          <w:sz w:val="28"/>
          <w:szCs w:val="28"/>
        </w:rPr>
        <w:t xml:space="preserve"> </w:t>
      </w:r>
    </w:p>
    <w:p w14:paraId="38F5E8EC" w14:textId="2D3AF912" w:rsidR="008D4D74" w:rsidRPr="00B9699E" w:rsidRDefault="008D4D74" w:rsidP="002B2FD8">
      <w:pPr>
        <w:pStyle w:val="Default"/>
        <w:numPr>
          <w:ilvl w:val="0"/>
          <w:numId w:val="11"/>
        </w:numPr>
        <w:rPr>
          <w:color w:val="FF0000"/>
          <w:sz w:val="28"/>
          <w:szCs w:val="28"/>
        </w:rPr>
      </w:pPr>
      <w:r w:rsidRPr="00B9699E">
        <w:rPr>
          <w:color w:val="FF0000"/>
          <w:sz w:val="28"/>
          <w:szCs w:val="28"/>
        </w:rPr>
        <w:t xml:space="preserve">very effective and complete anticoagulation </w:t>
      </w:r>
    </w:p>
    <w:p w14:paraId="06BD8F73" w14:textId="7479784F" w:rsidR="00202380" w:rsidRPr="00B9699E" w:rsidRDefault="008D4D74" w:rsidP="002B2FD8">
      <w:pPr>
        <w:pStyle w:val="a5"/>
        <w:numPr>
          <w:ilvl w:val="0"/>
          <w:numId w:val="11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B9699E">
        <w:rPr>
          <w:color w:val="FF0000"/>
          <w:sz w:val="28"/>
          <w:szCs w:val="28"/>
        </w:rPr>
        <w:t>lack of effect on the size (morphology) or number of blood cells in the specimen.</w:t>
      </w:r>
    </w:p>
    <w:p w14:paraId="51EC6123" w14:textId="7DADC09A" w:rsidR="00202380" w:rsidRPr="00B9699E" w:rsidRDefault="00202380" w:rsidP="002B2FD8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B9699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Mechanism of action of EDTA</w:t>
      </w:r>
      <w:r w:rsidR="008D4D74" w:rsidRPr="00B9699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:</w:t>
      </w:r>
      <w:r w:rsidR="00C20AFF" w:rsidRPr="00B9699E">
        <w:rPr>
          <w:color w:val="FF0000"/>
          <w:sz w:val="23"/>
          <w:szCs w:val="23"/>
        </w:rPr>
        <w:t xml:space="preserve"> </w:t>
      </w:r>
      <w:r w:rsidR="00C20AFF" w:rsidRPr="00B9699E">
        <w:rPr>
          <w:color w:val="FF0000"/>
          <w:sz w:val="28"/>
          <w:szCs w:val="28"/>
        </w:rPr>
        <w:t>This anticoagulant removes free calcium ions, which is essential for coagulation by chelating them</w:t>
      </w:r>
      <w:r w:rsidR="00C20AFF" w:rsidRPr="00B9699E">
        <w:rPr>
          <w:color w:val="FF0000"/>
          <w:sz w:val="23"/>
          <w:szCs w:val="23"/>
        </w:rPr>
        <w:t xml:space="preserve"> </w:t>
      </w:r>
      <w:r w:rsidR="007A6636" w:rsidRPr="00B9699E">
        <w:rPr>
          <w:rFonts w:asciiTheme="majorBidi" w:eastAsia="Times New Roman" w:hAnsiTheme="majorBidi" w:cstheme="majorBidi"/>
          <w:color w:val="FF0000"/>
          <w:sz w:val="28"/>
          <w:szCs w:val="28"/>
        </w:rPr>
        <w:t>.</w:t>
      </w:r>
      <w:r w:rsidRPr="00B9699E">
        <w:rPr>
          <w:rFonts w:asciiTheme="majorBidi" w:eastAsia="Times New Roman" w:hAnsiTheme="majorBidi" w:cstheme="majorBidi"/>
          <w:color w:val="FF0000"/>
          <w:sz w:val="28"/>
          <w:szCs w:val="28"/>
        </w:rPr>
        <w:t>It is effective when used as about 1.2 mg/ml of blood.</w:t>
      </w:r>
    </w:p>
    <w:p w14:paraId="74575A1F" w14:textId="77777777" w:rsidR="00202380" w:rsidRPr="00B9699E" w:rsidRDefault="00202380" w:rsidP="002B2FD8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B9699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Advantages of EDTA</w:t>
      </w:r>
    </w:p>
    <w:p w14:paraId="5629525E" w14:textId="77777777" w:rsidR="00202380" w:rsidRPr="00FA2A56" w:rsidRDefault="00202380" w:rsidP="008D4D74">
      <w:pPr>
        <w:pStyle w:val="a5"/>
        <w:numPr>
          <w:ilvl w:val="0"/>
          <w:numId w:val="10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>It gives better preservation to the cellular morphology of blood cells when observed even after 3 hours of blood collection.</w:t>
      </w:r>
    </w:p>
    <w:p w14:paraId="0A49CAC6" w14:textId="77777777" w:rsidR="00202380" w:rsidRPr="00FA2A56" w:rsidRDefault="00202380" w:rsidP="008D4D74">
      <w:pPr>
        <w:pStyle w:val="a5"/>
        <w:numPr>
          <w:ilvl w:val="0"/>
          <w:numId w:val="10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>It can be used for platelets counting as it inhibits the clumping of platelets.</w:t>
      </w:r>
    </w:p>
    <w:p w14:paraId="1DE196E9" w14:textId="77777777" w:rsidR="00FA2A56" w:rsidRPr="00FA2A56" w:rsidRDefault="00FA2A56" w:rsidP="00FA2A56">
      <w:pPr>
        <w:pStyle w:val="a5"/>
        <w:numPr>
          <w:ilvl w:val="0"/>
          <w:numId w:val="10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Uses of EDTA : Following tests are commonly done by using EDTA as an anticoagulant – </w:t>
      </w:r>
    </w:p>
    <w:p w14:paraId="793E5C77" w14:textId="77777777" w:rsidR="00FA2A56" w:rsidRPr="00FA2A56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Complete Blood Count (CBC), </w:t>
      </w:r>
    </w:p>
    <w:p w14:paraId="669DAA6B" w14:textId="77777777" w:rsidR="00FA2A56" w:rsidRPr="00FA2A56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PBS ,</w:t>
      </w:r>
    </w:p>
    <w:p w14:paraId="0DC93CEC" w14:textId="77777777" w:rsidR="00FA2A56" w:rsidRPr="00FA2A56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Platelet count,</w:t>
      </w:r>
    </w:p>
    <w:p w14:paraId="72C4079B" w14:textId="11B9DD78" w:rsidR="00FA2A56" w:rsidRPr="00116869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Red cell Indices,</w:t>
      </w:r>
      <w:r w:rsidR="00116869" w:rsidRPr="00116869">
        <w:t xml:space="preserve"> </w:t>
      </w:r>
      <w:r w:rsidR="00116869"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>Hemoglobin estimation,</w:t>
      </w:r>
      <w:r w:rsidR="00116869" w:rsidRPr="00116869">
        <w:t xml:space="preserve"> </w:t>
      </w:r>
      <w:r w:rsidR="00116869"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>Hematocrit or Packed Cell Volume estimation</w:t>
      </w:r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Differential Leukocyte Count,</w:t>
      </w:r>
    </w:p>
    <w:p w14:paraId="270D1540" w14:textId="3CBCAC67" w:rsidR="00FA2A56" w:rsidRPr="00116869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ESR by </w:t>
      </w:r>
      <w:proofErr w:type="spellStart"/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>wintrobes</w:t>
      </w:r>
      <w:proofErr w:type="spellEnd"/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method</w:t>
      </w:r>
    </w:p>
    <w:p w14:paraId="59B7C02E" w14:textId="6C249857" w:rsidR="00FA2A56" w:rsidRPr="00116869" w:rsidRDefault="00FA2A56" w:rsidP="00142577">
      <w:pPr>
        <w:pStyle w:val="a5"/>
        <w:numPr>
          <w:ilvl w:val="0"/>
          <w:numId w:val="2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FF0000"/>
          <w:sz w:val="28"/>
          <w:szCs w:val="28"/>
        </w:rPr>
      </w:pPr>
      <w:r w:rsidRPr="00FA2A56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and  HbA1C test</w:t>
      </w:r>
    </w:p>
    <w:p w14:paraId="4BF4D39D" w14:textId="77777777" w:rsidR="00202380" w:rsidRPr="00B9699E" w:rsidRDefault="00202380" w:rsidP="00202380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B9699E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Disadvantages of EDTA</w:t>
      </w:r>
    </w:p>
    <w:p w14:paraId="64956ADD" w14:textId="77777777" w:rsidR="00BD4124" w:rsidRPr="00B9699E" w:rsidRDefault="00BD4124" w:rsidP="00BD4124">
      <w:pPr>
        <w:pStyle w:val="Default"/>
        <w:numPr>
          <w:ilvl w:val="0"/>
          <w:numId w:val="15"/>
        </w:numPr>
        <w:rPr>
          <w:color w:val="2E74B5" w:themeColor="accent5" w:themeShade="BF"/>
          <w:sz w:val="28"/>
          <w:szCs w:val="28"/>
        </w:rPr>
      </w:pPr>
      <w:r w:rsidRPr="00B9699E">
        <w:rPr>
          <w:color w:val="2E74B5" w:themeColor="accent5" w:themeShade="BF"/>
          <w:sz w:val="28"/>
          <w:szCs w:val="28"/>
        </w:rPr>
        <w:t xml:space="preserve">Not used for coagulation studies because it destroys factor V and VIII.(as it chalets calcium) </w:t>
      </w:r>
    </w:p>
    <w:p w14:paraId="21EA0D39" w14:textId="53318849" w:rsidR="00BD4124" w:rsidRPr="00B9699E" w:rsidRDefault="00BD4124" w:rsidP="00BD4124">
      <w:pPr>
        <w:pStyle w:val="Default"/>
        <w:numPr>
          <w:ilvl w:val="0"/>
          <w:numId w:val="15"/>
        </w:numPr>
        <w:rPr>
          <w:color w:val="2E74B5" w:themeColor="accent5" w:themeShade="BF"/>
          <w:sz w:val="28"/>
          <w:szCs w:val="28"/>
        </w:rPr>
      </w:pPr>
      <w:r w:rsidRPr="00B9699E">
        <w:rPr>
          <w:color w:val="2E74B5" w:themeColor="accent5" w:themeShade="BF"/>
          <w:sz w:val="28"/>
          <w:szCs w:val="28"/>
        </w:rPr>
        <w:t xml:space="preserve">Occurs Platelets </w:t>
      </w:r>
      <w:proofErr w:type="spellStart"/>
      <w:r w:rsidRPr="00B9699E">
        <w:rPr>
          <w:color w:val="2E74B5" w:themeColor="accent5" w:themeShade="BF"/>
          <w:sz w:val="28"/>
          <w:szCs w:val="28"/>
        </w:rPr>
        <w:t>sataletism</w:t>
      </w:r>
      <w:proofErr w:type="spellEnd"/>
      <w:r w:rsidRPr="00B9699E">
        <w:rPr>
          <w:color w:val="2E74B5" w:themeColor="accent5" w:themeShade="BF"/>
          <w:sz w:val="28"/>
          <w:szCs w:val="28"/>
        </w:rPr>
        <w:t xml:space="preserve"> with neutrophils </w:t>
      </w:r>
    </w:p>
    <w:p w14:paraId="2E4636DB" w14:textId="77777777" w:rsidR="00BD4124" w:rsidRPr="00B9699E" w:rsidRDefault="00BD4124" w:rsidP="00BD4124">
      <w:pPr>
        <w:pStyle w:val="a5"/>
        <w:numPr>
          <w:ilvl w:val="0"/>
          <w:numId w:val="1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</w:pPr>
      <w:r w:rsidRPr="00B9699E">
        <w:rPr>
          <w:color w:val="2E74B5" w:themeColor="accent5" w:themeShade="BF"/>
          <w:sz w:val="28"/>
          <w:szCs w:val="28"/>
        </w:rPr>
        <w:t>Occurs Platelet aggregation</w:t>
      </w:r>
      <w:r w:rsidRPr="00B9699E">
        <w:rPr>
          <w:color w:val="2E74B5" w:themeColor="accent5" w:themeShade="BF"/>
          <w:sz w:val="23"/>
          <w:szCs w:val="23"/>
        </w:rPr>
        <w:t xml:space="preserve"> </w:t>
      </w:r>
    </w:p>
    <w:p w14:paraId="2D38B2F6" w14:textId="0CA17DB1" w:rsidR="00202380" w:rsidRPr="00B9699E" w:rsidRDefault="00202380" w:rsidP="00BD4124">
      <w:pPr>
        <w:pStyle w:val="a5"/>
        <w:numPr>
          <w:ilvl w:val="0"/>
          <w:numId w:val="15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</w:pPr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 xml:space="preserve">Excess of EDTA in the blood may lead to shrinkage of RBCs &amp; WBCs. </w:t>
      </w:r>
      <w:r w:rsidR="00BD4124"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>,</w:t>
      </w:r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 xml:space="preserve"> degenerative changes in the blood </w:t>
      </w:r>
      <w:proofErr w:type="spellStart"/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>cells</w:t>
      </w:r>
      <w:r w:rsidR="00BD4124"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>,</w:t>
      </w:r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>decrease</w:t>
      </w:r>
      <w:proofErr w:type="spellEnd"/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 xml:space="preserve"> in Packed Cell Volume (PCV) &amp; Increase in MCHC (Mean Cell Hemoglobin Concentration).</w:t>
      </w:r>
    </w:p>
    <w:p w14:paraId="29C07FF6" w14:textId="77777777" w:rsidR="00021B9E" w:rsidRDefault="00021B9E" w:rsidP="002B2FD8">
      <w:pPr>
        <w:pStyle w:val="a5"/>
        <w:numPr>
          <w:ilvl w:val="0"/>
          <w:numId w:val="14"/>
        </w:num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</w:pPr>
      <w:r w:rsidRPr="00B9699E"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  <w:t>It activates naturally occurring anti-platelet auto-antibodies which cause the platelet adherence to Neutrophils.</w:t>
      </w:r>
    </w:p>
    <w:p w14:paraId="24DD3DA9" w14:textId="77777777" w:rsidR="00587518" w:rsidRPr="00587518" w:rsidRDefault="00587518" w:rsidP="00587518">
      <w:p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color w:val="2E74B5" w:themeColor="accent5" w:themeShade="BF"/>
          <w:sz w:val="28"/>
          <w:szCs w:val="28"/>
        </w:rPr>
      </w:pPr>
    </w:p>
    <w:p w14:paraId="0A06C968" w14:textId="1EE50FF9" w:rsidR="00021B9E" w:rsidRPr="00F50AD7" w:rsidRDefault="00EB3D73" w:rsidP="00582900">
      <w:pPr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F50AD7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2</w:t>
      </w:r>
      <w:r w:rsidRPr="009F51C7">
        <w:rPr>
          <w:rFonts w:asciiTheme="majorBidi" w:eastAsia="Times New Roman" w:hAnsiTheme="majorBidi" w:cstheme="majorBidi"/>
          <w:color w:val="FF0000"/>
          <w:sz w:val="28"/>
          <w:szCs w:val="28"/>
        </w:rPr>
        <w:t>.</w:t>
      </w:r>
      <w:r w:rsidRPr="00F50AD7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  <w:r w:rsidR="00021B9E" w:rsidRPr="00F50AD7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TRI-SODIUM CITRATE</w:t>
      </w:r>
    </w:p>
    <w:p w14:paraId="42C85391" w14:textId="77777777" w:rsidR="00EB3D73" w:rsidRPr="001E5D6D" w:rsidRDefault="00EB3D73" w:rsidP="002B2FD8">
      <w:pPr>
        <w:pStyle w:val="Default"/>
        <w:rPr>
          <w:rFonts w:asciiTheme="majorBidi" w:hAnsiTheme="majorBidi" w:cstheme="majorBidi"/>
          <w:color w:val="FF0000"/>
          <w:sz w:val="28"/>
          <w:szCs w:val="28"/>
        </w:rPr>
      </w:pPr>
      <w:r w:rsidRPr="001E5D6D">
        <w:rPr>
          <w:rFonts w:asciiTheme="majorBidi" w:hAnsiTheme="majorBidi" w:cstheme="majorBidi"/>
          <w:b/>
          <w:bCs/>
          <w:color w:val="FF0000"/>
          <w:sz w:val="28"/>
          <w:szCs w:val="28"/>
        </w:rPr>
        <w:t>Sodium Citrate Chemical Action</w:t>
      </w:r>
      <w:r w:rsidRPr="001E5D6D"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</w:p>
    <w:p w14:paraId="2EDF6CB8" w14:textId="32413686" w:rsidR="00755F10" w:rsidRPr="00333D8F" w:rsidRDefault="00EB3D73" w:rsidP="00333D8F">
      <w:pPr>
        <w:pStyle w:val="Default"/>
        <w:rPr>
          <w:rFonts w:asciiTheme="majorBidi" w:hAnsiTheme="majorBidi" w:cstheme="majorBidi"/>
          <w:sz w:val="28"/>
          <w:szCs w:val="28"/>
        </w:rPr>
      </w:pPr>
      <w:r w:rsidRPr="00EB3D73">
        <w:rPr>
          <w:rFonts w:asciiTheme="majorBidi" w:hAnsiTheme="majorBidi" w:cstheme="majorBidi"/>
          <w:sz w:val="28"/>
          <w:szCs w:val="28"/>
        </w:rPr>
        <w:t>-The anticoagulant removes the free Calcium ions by binding to them to</w:t>
      </w:r>
      <w:r w:rsidR="00333D8F">
        <w:rPr>
          <w:rFonts w:asciiTheme="majorBidi" w:hAnsiTheme="majorBidi" w:cstheme="majorBidi"/>
          <w:sz w:val="28"/>
          <w:szCs w:val="28"/>
        </w:rPr>
        <w:t xml:space="preserve"> form calcium citrate complex. </w:t>
      </w:r>
    </w:p>
    <w:p w14:paraId="4CDD4AD1" w14:textId="0AD57272" w:rsidR="00EB3D73" w:rsidRPr="00755F10" w:rsidRDefault="00EB3D73" w:rsidP="003A5671">
      <w:pPr>
        <w:pStyle w:val="Default"/>
        <w:spacing w:line="360" w:lineRule="auto"/>
        <w:rPr>
          <w:rFonts w:asciiTheme="majorBidi" w:hAnsiTheme="majorBidi" w:cstheme="majorBidi"/>
          <w:color w:val="FF0000"/>
          <w:sz w:val="28"/>
          <w:szCs w:val="28"/>
        </w:rPr>
      </w:pPr>
      <w:r w:rsidRPr="00755F10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Sodium Citrate USES </w:t>
      </w:r>
      <w:r w:rsidR="00333D8F">
        <w:rPr>
          <w:rFonts w:asciiTheme="majorBidi" w:hAnsiTheme="majorBidi" w:cstheme="majorBidi"/>
          <w:color w:val="FF0000"/>
          <w:sz w:val="28"/>
          <w:szCs w:val="28"/>
        </w:rPr>
        <w:t xml:space="preserve"> OR </w:t>
      </w:r>
      <w:r w:rsidR="00755F10" w:rsidRPr="00755F10">
        <w:rPr>
          <w:rFonts w:asciiTheme="majorBidi" w:hAnsiTheme="majorBidi" w:cstheme="majorBidi"/>
          <w:color w:val="FF0000"/>
          <w:sz w:val="28"/>
          <w:szCs w:val="28"/>
        </w:rPr>
        <w:t>(</w:t>
      </w:r>
      <w:r w:rsidR="00F50AD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proofErr w:type="spellStart"/>
      <w:r w:rsidR="00F50AD7">
        <w:rPr>
          <w:rFonts w:asciiTheme="majorBidi" w:hAnsiTheme="majorBidi" w:cstheme="majorBidi"/>
          <w:color w:val="FF0000"/>
          <w:sz w:val="28"/>
          <w:szCs w:val="28"/>
        </w:rPr>
        <w:t>A</w:t>
      </w:r>
      <w:r w:rsidR="00755F10" w:rsidRPr="00755F10">
        <w:rPr>
          <w:rFonts w:asciiTheme="majorBidi" w:hAnsiTheme="majorBidi" w:cstheme="majorBidi"/>
          <w:color w:val="FF0000"/>
          <w:sz w:val="28"/>
          <w:szCs w:val="28"/>
        </w:rPr>
        <w:t>dvantiges</w:t>
      </w:r>
      <w:proofErr w:type="spellEnd"/>
      <w:r w:rsidR="00755F10" w:rsidRPr="00755F10">
        <w:rPr>
          <w:rFonts w:asciiTheme="majorBidi" w:hAnsiTheme="majorBidi" w:cstheme="majorBidi"/>
          <w:color w:val="FF0000"/>
          <w:sz w:val="28"/>
          <w:szCs w:val="28"/>
        </w:rPr>
        <w:t>):</w:t>
      </w:r>
    </w:p>
    <w:p w14:paraId="3A970E25" w14:textId="4B7EAA4F" w:rsidR="002E4E07" w:rsidRPr="00755F10" w:rsidRDefault="00EB3D73" w:rsidP="003A5671">
      <w:pPr>
        <w:pStyle w:val="Default"/>
        <w:numPr>
          <w:ilvl w:val="0"/>
          <w:numId w:val="23"/>
        </w:numPr>
        <w:spacing w:line="360" w:lineRule="auto"/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</w:pPr>
      <w:r w:rsidRPr="00755F10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The anticoagulant of choice in coagulation studies. </w:t>
      </w:r>
      <w:r w:rsidRPr="00755F10">
        <w:rPr>
          <w:rFonts w:asciiTheme="majorBidi" w:hAnsiTheme="majorBidi" w:cstheme="majorBidi"/>
          <w:b/>
          <w:bCs/>
          <w:color w:val="4472C4" w:themeColor="accent1"/>
          <w:sz w:val="28"/>
          <w:szCs w:val="28"/>
        </w:rPr>
        <w:t>PT, TT and PTT</w:t>
      </w:r>
    </w:p>
    <w:p w14:paraId="46DAB2D8" w14:textId="77777777" w:rsidR="00587518" w:rsidRDefault="00EB3D73" w:rsidP="00587518">
      <w:pPr>
        <w:pStyle w:val="Default"/>
        <w:numPr>
          <w:ilvl w:val="0"/>
          <w:numId w:val="23"/>
        </w:numPr>
        <w:spacing w:line="360" w:lineRule="auto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755F10">
        <w:rPr>
          <w:rFonts w:asciiTheme="majorBidi" w:hAnsiTheme="majorBidi" w:cstheme="majorBidi"/>
          <w:color w:val="4472C4" w:themeColor="accent1"/>
          <w:sz w:val="28"/>
          <w:szCs w:val="28"/>
        </w:rPr>
        <w:t>ESR</w:t>
      </w:r>
      <w:r w:rsidRPr="00755F10">
        <w:rPr>
          <w:color w:val="4472C4" w:themeColor="accent1"/>
          <w:sz w:val="23"/>
          <w:szCs w:val="23"/>
        </w:rPr>
        <w:t xml:space="preserve"> </w:t>
      </w:r>
      <w:r w:rsidR="003A5671" w:rsidRPr="003A5671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by </w:t>
      </w:r>
      <w:proofErr w:type="spellStart"/>
      <w:r w:rsidR="003A5671" w:rsidRPr="003A5671">
        <w:rPr>
          <w:rFonts w:asciiTheme="majorBidi" w:hAnsiTheme="majorBidi" w:cstheme="majorBidi"/>
          <w:color w:val="4472C4" w:themeColor="accent1"/>
          <w:sz w:val="28"/>
          <w:szCs w:val="28"/>
        </w:rPr>
        <w:t>Westergren</w:t>
      </w:r>
      <w:proofErr w:type="spellEnd"/>
      <w:r w:rsidR="003A5671" w:rsidRPr="003A5671">
        <w:rPr>
          <w:rFonts w:asciiTheme="majorBidi" w:hAnsiTheme="majorBidi" w:cstheme="majorBidi"/>
          <w:color w:val="4472C4" w:themeColor="accent1"/>
          <w:sz w:val="28"/>
          <w:szCs w:val="28"/>
        </w:rPr>
        <w:t xml:space="preserve"> Method</w:t>
      </w:r>
    </w:p>
    <w:p w14:paraId="0B4E8609" w14:textId="77777777" w:rsidR="00495BA5" w:rsidRDefault="00587518" w:rsidP="00495BA5">
      <w:pPr>
        <w:pStyle w:val="Default"/>
        <w:spacing w:line="360" w:lineRule="auto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587518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Sodium Citrate </w:t>
      </w:r>
      <w:proofErr w:type="spellStart"/>
      <w:r w:rsidR="00EB3D73" w:rsidRPr="00587518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Disadvantiges</w:t>
      </w:r>
      <w:proofErr w:type="spellEnd"/>
      <w:r w:rsidR="00EB3D73" w:rsidRPr="00587518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: </w:t>
      </w:r>
    </w:p>
    <w:p w14:paraId="4CCD34E1" w14:textId="5E78CADA" w:rsidR="00021B9E" w:rsidRPr="00587518" w:rsidRDefault="00021B9E" w:rsidP="00495BA5">
      <w:pPr>
        <w:pStyle w:val="Default"/>
        <w:spacing w:line="360" w:lineRule="auto"/>
        <w:ind w:left="360"/>
        <w:rPr>
          <w:rFonts w:asciiTheme="majorBidi" w:hAnsiTheme="majorBidi" w:cstheme="majorBidi"/>
          <w:color w:val="4472C4" w:themeColor="accent1"/>
          <w:sz w:val="28"/>
          <w:szCs w:val="28"/>
        </w:rPr>
      </w:pPr>
      <w:r w:rsidRPr="00587518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Citrated blood cannot be used for Packed Cell Volume (PCV), Hemoglobin (</w:t>
      </w:r>
      <w:proofErr w:type="spellStart"/>
      <w:r w:rsidRPr="00587518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Hb</w:t>
      </w:r>
      <w:proofErr w:type="spellEnd"/>
      <w:r w:rsidRPr="00587518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) Estimation, Total Leukocyte Count TLC, and Differential Leukocyte Count (DLC) because citrate is used as a solution and it alters the concentration of blood.</w:t>
      </w:r>
    </w:p>
    <w:p w14:paraId="6AA8E2FF" w14:textId="40842DF1" w:rsidR="00755F10" w:rsidRPr="00755F10" w:rsidRDefault="00625BFA" w:rsidP="003A5671">
      <w:pPr>
        <w:bidi w:val="0"/>
        <w:spacing w:before="100" w:beforeAutospacing="1" w:after="100" w:afterAutospacing="1" w:line="360" w:lineRule="auto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3.</w:t>
      </w:r>
      <w:r w:rsidR="00755F10" w:rsidRPr="00755F10">
        <w:rPr>
          <w:color w:val="FF0000"/>
        </w:rPr>
        <w:t xml:space="preserve"> </w:t>
      </w:r>
      <w:r w:rsidR="00755F10"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BIOLOGICAL / NATURAL ANTICOAGULANT – HEPARIN</w:t>
      </w:r>
    </w:p>
    <w:p w14:paraId="6C194B97" w14:textId="7D55C3B4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an excellent natural anticoagulant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 </w:t>
      </w:r>
    </w:p>
    <w:p w14:paraId="2175E2D5" w14:textId="2E22C55E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sources extracted from mammalian liver or pancreas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. </w:t>
      </w:r>
    </w:p>
    <w:p w14:paraId="428BCC56" w14:textId="645717C2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more expensive than the artificial ones and has a temporary effect of only 24/ hours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. </w:t>
      </w:r>
    </w:p>
    <w:p w14:paraId="082AD99C" w14:textId="76F16991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Prevents clotting by inactivating thrombin, thus preventing conversion of fibrinogen to fibrin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. </w:t>
      </w:r>
    </w:p>
    <w:p w14:paraId="6EEAEB65" w14:textId="471BF11B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used in the proportion of 0.1-0.2mg of the dry salt for 1ml of blood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. </w:t>
      </w:r>
    </w:p>
    <w:p w14:paraId="45556499" w14:textId="2B7AB174" w:rsidR="00755F10" w:rsidRPr="001178BE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>Heparin does not alter the size of the red cells</w:t>
      </w:r>
      <w:r w:rsidRPr="001178BE">
        <w:rPr>
          <w:rFonts w:asciiTheme="majorBidi" w:eastAsia="Times New Roman" w:hAnsiTheme="majorBidi" w:cs="Times New Roman"/>
          <w:b/>
          <w:bCs/>
          <w:color w:val="92D050"/>
          <w:sz w:val="28"/>
          <w:szCs w:val="28"/>
          <w:rtl/>
        </w:rPr>
        <w:t xml:space="preserve">; </w:t>
      </w:r>
    </w:p>
    <w:p w14:paraId="7801126D" w14:textId="3D709F6C" w:rsidR="00755F10" w:rsidRPr="00014873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014873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The heparinized blood specimen is commonly used to Blood sample without hemolysis , blood gases especially the Arterial Blood Gas Analysis, Erythrocyte Sedimentation Rate (ESR), Red cell enzyme estimation , Packed Cell Volume (PCV), Osmotic Fragility Test (OFT), </w:t>
      </w:r>
      <w:proofErr w:type="spellStart"/>
      <w:r w:rsidRPr="00014873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Immunophenotyping</w:t>
      </w:r>
      <w:proofErr w:type="spellEnd"/>
      <w:r w:rsidRPr="00014873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and other Hematological tests</w:t>
      </w:r>
    </w:p>
    <w:p w14:paraId="59477B91" w14:textId="6EC3ACED" w:rsidR="007A33C0" w:rsidRDefault="00755F10" w:rsidP="003A5671">
      <w:pPr>
        <w:pStyle w:val="a5"/>
        <w:numPr>
          <w:ilvl w:val="0"/>
          <w:numId w:val="26"/>
        </w:numPr>
        <w:bidi w:val="0"/>
        <w:spacing w:before="100" w:beforeAutospacing="1" w:after="100" w:afterAutospacing="1" w:line="360" w:lineRule="auto"/>
        <w:ind w:right="-810"/>
        <w:outlineLvl w:val="1"/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</w:pPr>
      <w:r w:rsidRPr="001178BE">
        <w:rPr>
          <w:rFonts w:asciiTheme="majorBidi" w:eastAsia="Times New Roman" w:hAnsiTheme="majorBidi" w:cstheme="majorBidi"/>
          <w:b/>
          <w:bCs/>
          <w:color w:val="92D050"/>
          <w:sz w:val="28"/>
          <w:szCs w:val="28"/>
        </w:rPr>
        <w:t xml:space="preserve">Not recommended for cell counting because of its clumping effect on platelets leucocytes </w:t>
      </w:r>
    </w:p>
    <w:p w14:paraId="3107556B" w14:textId="1BBC59F6" w:rsidR="00021B9E" w:rsidRPr="00755F10" w:rsidRDefault="00755F10" w:rsidP="007A33C0">
      <w:pPr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bookmarkStart w:id="0" w:name="_GoBack"/>
      <w:bookmarkEnd w:id="0"/>
      <w:r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lastRenderedPageBreak/>
        <w:t>4.</w:t>
      </w:r>
      <w:r w:rsidR="00A82A86"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 </w:t>
      </w:r>
      <w:r w:rsidR="00021B9E"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OXALATES</w:t>
      </w:r>
    </w:p>
    <w:p w14:paraId="0164B03C" w14:textId="77777777" w:rsidR="00021B9E" w:rsidRPr="00021B9E" w:rsidRDefault="00021B9E" w:rsidP="007A33C0">
      <w:p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They can be used as </w:t>
      </w:r>
      <w:r w:rsidRPr="00116869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Single oxalates</w:t>
      </w:r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as Sodium Oxalate or Potassium Oxalate or Ammonium oxalate but are commonly used as </w:t>
      </w:r>
      <w:r w:rsidRPr="00116869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Double Oxalates</w:t>
      </w:r>
      <w:r w:rsidRPr="00116869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because when used alone the </w:t>
      </w:r>
      <w:r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Potassium oxalate</w:t>
      </w:r>
      <w:r w:rsidRPr="00755F10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, 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when used at a concentration of 2mg/ml of blood causes the Shrinkage of Red Blood Cells (RBCs) whereas the </w:t>
      </w:r>
      <w:r w:rsidRPr="00755F10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Ammonium oxalate</w:t>
      </w:r>
      <w:r w:rsidRPr="00755F10">
        <w:rPr>
          <w:rFonts w:asciiTheme="majorBidi" w:eastAsia="Times New Roman" w:hAnsiTheme="majorBidi" w:cstheme="majorBidi"/>
          <w:color w:val="FF0000"/>
          <w:sz w:val="28"/>
          <w:szCs w:val="28"/>
        </w:rPr>
        <w:t xml:space="preserve"> 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>may cause the Swelling of Red blood cells when used at concentration of 2mg/ml.</w:t>
      </w:r>
    </w:p>
    <w:p w14:paraId="0EC9906B" w14:textId="77777777" w:rsidR="00021B9E" w:rsidRPr="00021B9E" w:rsidRDefault="00021B9E" w:rsidP="00021B9E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021B9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Oxalates – Mechanism of Action</w:t>
      </w:r>
    </w:p>
    <w:p w14:paraId="65B60933" w14:textId="77777777" w:rsidR="00021B9E" w:rsidRPr="00021B9E" w:rsidRDefault="00021B9E" w:rsidP="00021B9E">
      <w:p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It acts as a </w:t>
      </w:r>
      <w:r w:rsidRPr="00A82A8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chelating agent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 and binds with the calcium ions present in the blood and forms </w:t>
      </w:r>
      <w:r w:rsidRPr="00A82A86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insoluble precipitates of Calcium Oxalates.</w:t>
      </w:r>
    </w:p>
    <w:p w14:paraId="16ED194A" w14:textId="77777777" w:rsidR="00021B9E" w:rsidRPr="00021B9E" w:rsidRDefault="00021B9E" w:rsidP="00021B9E">
      <w:pPr>
        <w:bidi w:val="0"/>
        <w:spacing w:before="100" w:beforeAutospacing="1" w:after="100" w:afterAutospacing="1" w:line="240" w:lineRule="auto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021B9E">
        <w:rPr>
          <w:rFonts w:asciiTheme="majorBidi" w:eastAsia="Times New Roman" w:hAnsiTheme="majorBidi" w:cstheme="majorBidi"/>
          <w:i/>
          <w:iCs/>
          <w:color w:val="000000"/>
          <w:sz w:val="28"/>
          <w:szCs w:val="28"/>
        </w:rPr>
        <w:t>Remember that the Potassium oxalate and Ammonium Oxalate should be used in a ratio 2:3 and at a concentration of 2mg/ml of blood.</w:t>
      </w:r>
    </w:p>
    <w:p w14:paraId="2E1095D1" w14:textId="09190B86" w:rsidR="00021B9E" w:rsidRPr="00A82A86" w:rsidRDefault="00021B9E" w:rsidP="00A82A86">
      <w:pPr>
        <w:bidi w:val="0"/>
        <w:spacing w:before="100" w:beforeAutospacing="1" w:after="100" w:afterAutospacing="1" w:line="240" w:lineRule="auto"/>
        <w:jc w:val="both"/>
        <w:outlineLvl w:val="2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021B9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  <w:t>Uses of Oxalates</w:t>
      </w:r>
      <w:r w:rsidR="00A82A86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: </w:t>
      </w:r>
      <w:r w:rsidRPr="00021B9E">
        <w:rPr>
          <w:rFonts w:asciiTheme="majorBidi" w:eastAsia="Times New Roman" w:hAnsiTheme="majorBidi" w:cstheme="majorBidi"/>
          <w:color w:val="000000"/>
          <w:sz w:val="28"/>
          <w:szCs w:val="28"/>
        </w:rPr>
        <w:t>It can be used for the Blood chemistry, Packed cell volume (PCV), Erythrocyte Sedimentation Rate (ESR), Total Leukocyte Count (TLC), Specific gravity etc.</w:t>
      </w:r>
    </w:p>
    <w:p w14:paraId="48BBCCD0" w14:textId="330258BA" w:rsidR="009F51C7" w:rsidRPr="00D11011" w:rsidRDefault="00021B9E" w:rsidP="00D11011">
      <w:pPr>
        <w:pStyle w:val="a5"/>
        <w:numPr>
          <w:ilvl w:val="0"/>
          <w:numId w:val="27"/>
        </w:numPr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D11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>SODIUM FLUORIDE</w:t>
      </w:r>
      <w:r w:rsidR="009F51C7" w:rsidRPr="00D11011"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  <w:t xml:space="preserve">: </w:t>
      </w:r>
    </w:p>
    <w:p w14:paraId="6B915058" w14:textId="67AD22E6" w:rsidR="00021B9E" w:rsidRPr="009F51C7" w:rsidRDefault="00021B9E" w:rsidP="009F51C7">
      <w:pPr>
        <w:pStyle w:val="a5"/>
        <w:bidi w:val="0"/>
        <w:spacing w:before="100" w:beforeAutospacing="1" w:after="100" w:afterAutospacing="1" w:line="240" w:lineRule="auto"/>
        <w:jc w:val="both"/>
        <w:outlineLvl w:val="1"/>
        <w:rPr>
          <w:rFonts w:asciiTheme="majorBidi" w:eastAsia="Times New Roman" w:hAnsiTheme="majorBidi" w:cstheme="majorBidi"/>
          <w:b/>
          <w:bCs/>
          <w:color w:val="FF0000"/>
          <w:sz w:val="28"/>
          <w:szCs w:val="28"/>
        </w:rPr>
      </w:pPr>
      <w:r w:rsidRPr="009F51C7">
        <w:rPr>
          <w:rFonts w:asciiTheme="majorBidi" w:eastAsia="Times New Roman" w:hAnsiTheme="majorBidi" w:cstheme="majorBidi"/>
          <w:color w:val="000000"/>
          <w:sz w:val="28"/>
          <w:szCs w:val="28"/>
        </w:rPr>
        <w:t>It is the anticoagulant of choice for the estimation of blood sugar.</w:t>
      </w:r>
    </w:p>
    <w:p w14:paraId="17F3C09C" w14:textId="7ED36E05" w:rsidR="0032794D" w:rsidRPr="009E2191" w:rsidRDefault="00536E0F" w:rsidP="00755F10">
      <w:pPr>
        <w:bidi w:val="0"/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noProof/>
          <w:sz w:val="28"/>
          <w:szCs w:val="28"/>
        </w:rPr>
        <w:drawing>
          <wp:inline distT="0" distB="0" distL="0" distR="0" wp14:anchorId="5686D47C" wp14:editId="79D703DA">
            <wp:extent cx="5810250" cy="2476500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6D0E5" w14:textId="77777777" w:rsidR="00BF32CA" w:rsidRDefault="00BF32CA" w:rsidP="00986EB7">
      <w:pPr>
        <w:jc w:val="center"/>
        <w:rPr>
          <w:rFonts w:asciiTheme="majorBidi" w:hAnsiTheme="majorBidi" w:cs="Times New Roman" w:hint="cs"/>
          <w:noProof/>
          <w:sz w:val="28"/>
          <w:szCs w:val="28"/>
          <w:rtl/>
          <w:lang w:bidi="ar-IQ"/>
        </w:rPr>
      </w:pPr>
    </w:p>
    <w:p w14:paraId="0501CA5B" w14:textId="5699E308" w:rsidR="001C4263" w:rsidRPr="00E51965" w:rsidRDefault="00536E0F" w:rsidP="00B71E69">
      <w:pPr>
        <w:jc w:val="center"/>
        <w:rPr>
          <w:rFonts w:asciiTheme="majorBidi" w:hAnsiTheme="majorBidi" w:cstheme="majorBidi"/>
          <w:sz w:val="28"/>
          <w:szCs w:val="28"/>
          <w:rtl/>
          <w:lang w:bidi="ar-IQ"/>
        </w:rPr>
      </w:pPr>
      <w:r>
        <w:rPr>
          <w:rFonts w:asciiTheme="majorBidi" w:hAnsiTheme="majorBidi" w:cs="Times New Roman" w:hint="cs"/>
          <w:noProof/>
          <w:sz w:val="28"/>
          <w:szCs w:val="28"/>
          <w:rtl/>
        </w:rPr>
        <w:lastRenderedPageBreak/>
        <w:drawing>
          <wp:inline distT="0" distB="0" distL="0" distR="0" wp14:anchorId="0D7916B0" wp14:editId="3C829EBE">
            <wp:extent cx="5905500" cy="3571875"/>
            <wp:effectExtent l="0" t="0" r="0" b="9525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Times New Roman" w:hint="cs"/>
          <w:noProof/>
          <w:sz w:val="28"/>
          <w:szCs w:val="28"/>
          <w:rtl/>
        </w:rPr>
        <w:drawing>
          <wp:inline distT="0" distB="0" distL="0" distR="0" wp14:anchorId="23FEE5B1" wp14:editId="48B102F0">
            <wp:extent cx="6019800" cy="4505325"/>
            <wp:effectExtent l="0" t="0" r="0" b="9525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450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="Times New Roman" w:hint="cs"/>
          <w:noProof/>
          <w:sz w:val="28"/>
          <w:szCs w:val="28"/>
          <w:rtl/>
        </w:rPr>
        <w:lastRenderedPageBreak/>
        <w:drawing>
          <wp:inline distT="0" distB="0" distL="0" distR="0" wp14:anchorId="7EE09792" wp14:editId="58AEAADD">
            <wp:extent cx="5705475" cy="4057650"/>
            <wp:effectExtent l="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794D">
        <w:rPr>
          <w:rFonts w:asciiTheme="majorBidi" w:hAnsiTheme="majorBidi" w:cs="Times New Roman" w:hint="cs"/>
          <w:noProof/>
          <w:sz w:val="28"/>
          <w:szCs w:val="28"/>
          <w:rtl/>
        </w:rPr>
        <w:drawing>
          <wp:inline distT="0" distB="0" distL="0" distR="0" wp14:anchorId="7924A13B" wp14:editId="2185AF20">
            <wp:extent cx="5743575" cy="4610100"/>
            <wp:effectExtent l="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61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263" w:rsidRPr="00E51965" w:rsidSect="00B71E69">
      <w:headerReference w:type="default" r:id="rId15"/>
      <w:pgSz w:w="11906" w:h="16838"/>
      <w:pgMar w:top="1440" w:right="1416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33FF5" w14:textId="77777777" w:rsidR="00FE4DED" w:rsidRDefault="00FE4DED" w:rsidP="009841A2">
      <w:pPr>
        <w:spacing w:after="0" w:line="240" w:lineRule="auto"/>
      </w:pPr>
      <w:r>
        <w:separator/>
      </w:r>
    </w:p>
  </w:endnote>
  <w:endnote w:type="continuationSeparator" w:id="0">
    <w:p w14:paraId="0546504A" w14:textId="77777777" w:rsidR="00FE4DED" w:rsidRDefault="00FE4DED" w:rsidP="00984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A09A60" w14:textId="77777777" w:rsidR="00FE4DED" w:rsidRDefault="00FE4DED" w:rsidP="009841A2">
      <w:pPr>
        <w:spacing w:after="0" w:line="240" w:lineRule="auto"/>
      </w:pPr>
      <w:r>
        <w:separator/>
      </w:r>
    </w:p>
  </w:footnote>
  <w:footnote w:type="continuationSeparator" w:id="0">
    <w:p w14:paraId="683EF0FD" w14:textId="77777777" w:rsidR="00FE4DED" w:rsidRDefault="00FE4DED" w:rsidP="00984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F3A26" w14:textId="77777777" w:rsidR="00755F10" w:rsidRPr="00755F10" w:rsidRDefault="00755F10" w:rsidP="00755F10">
    <w:pPr>
      <w:pStyle w:val="a3"/>
      <w:tabs>
        <w:tab w:val="clear" w:pos="8306"/>
      </w:tabs>
      <w:ind w:left="-766" w:firstLine="382"/>
      <w:jc w:val="right"/>
      <w:rPr>
        <w:rFonts w:asciiTheme="majorBidi" w:hAnsiTheme="majorBidi" w:cstheme="majorBidi"/>
        <w:b/>
        <w:bCs/>
        <w:sz w:val="24"/>
        <w:szCs w:val="24"/>
        <w:lang w:bidi="ar-IQ"/>
      </w:rPr>
    </w:pPr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Ministry Of Higher Education and Scientific Research /   Al-</w:t>
    </w:r>
    <w:proofErr w:type="spellStart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Mustaqbal</w:t>
    </w:r>
    <w:proofErr w:type="spellEnd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 University</w:t>
    </w:r>
  </w:p>
  <w:p w14:paraId="0D86848C" w14:textId="77777777" w:rsidR="00755F10" w:rsidRPr="00755F10" w:rsidRDefault="00755F10" w:rsidP="00755F10">
    <w:pPr>
      <w:pStyle w:val="a3"/>
      <w:tabs>
        <w:tab w:val="clear" w:pos="8306"/>
      </w:tabs>
      <w:ind w:left="-766" w:firstLine="382"/>
      <w:jc w:val="right"/>
      <w:rPr>
        <w:rFonts w:asciiTheme="majorBidi" w:hAnsiTheme="majorBidi" w:cstheme="majorBidi" w:hint="cs"/>
        <w:b/>
        <w:bCs/>
        <w:sz w:val="24"/>
        <w:szCs w:val="24"/>
        <w:rtl/>
        <w:lang w:bidi="ar-IQ"/>
      </w:rPr>
    </w:pPr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College Medical and Health Techniques / Medical Laboratory Techniques Department</w:t>
    </w:r>
  </w:p>
  <w:p w14:paraId="14C1EA3E" w14:textId="2F8A9CB6" w:rsidR="00846E72" w:rsidRPr="00755F10" w:rsidRDefault="00755F10" w:rsidP="00755F10">
    <w:pPr>
      <w:pStyle w:val="a3"/>
      <w:tabs>
        <w:tab w:val="clear" w:pos="8306"/>
      </w:tabs>
      <w:ind w:left="-766" w:firstLine="382"/>
      <w:jc w:val="right"/>
      <w:rPr>
        <w:rFonts w:asciiTheme="majorBidi" w:hAnsiTheme="majorBidi" w:cstheme="majorBidi"/>
        <w:sz w:val="24"/>
        <w:szCs w:val="24"/>
        <w:rtl/>
      </w:rPr>
    </w:pPr>
    <w:r w:rsidRPr="00755F10">
      <w:rPr>
        <w:rFonts w:asciiTheme="majorBidi" w:hAnsiTheme="majorBidi" w:cstheme="majorBidi"/>
        <w:b/>
        <w:bCs/>
        <w:sz w:val="24"/>
        <w:szCs w:val="24"/>
        <w:rtl/>
        <w:lang w:bidi="ar-IQ"/>
      </w:rPr>
      <w:t xml:space="preserve"> </w:t>
    </w:r>
    <w:r>
      <w:rPr>
        <w:rFonts w:asciiTheme="majorBidi" w:hAnsiTheme="majorBidi" w:cstheme="majorBidi"/>
        <w:b/>
        <w:bCs/>
        <w:sz w:val="24"/>
        <w:szCs w:val="24"/>
        <w:lang w:bidi="ar-IQ"/>
      </w:rPr>
      <w:t xml:space="preserve">Practical   Hematology </w:t>
    </w:r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 / 3rd  stage /  </w:t>
    </w:r>
    <w:proofErr w:type="spellStart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Dr</w:t>
    </w:r>
    <w:proofErr w:type="spellEnd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_ </w:t>
    </w:r>
    <w:proofErr w:type="spellStart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Raghda</w:t>
    </w:r>
    <w:proofErr w:type="spellEnd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 </w:t>
    </w:r>
    <w:proofErr w:type="spellStart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Hameed</w:t>
    </w:r>
    <w:proofErr w:type="spellEnd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 </w:t>
    </w:r>
    <w:proofErr w:type="spellStart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>Jasim</w:t>
    </w:r>
    <w:proofErr w:type="spellEnd"/>
    <w:r w:rsidRPr="00755F10">
      <w:rPr>
        <w:rFonts w:asciiTheme="majorBidi" w:hAnsiTheme="majorBidi" w:cstheme="majorBidi"/>
        <w:b/>
        <w:bCs/>
        <w:sz w:val="24"/>
        <w:szCs w:val="24"/>
        <w:lang w:bidi="ar-IQ"/>
      </w:rPr>
      <w:t xml:space="preserve">  M.B.Ch .B-F.I.B.M.S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EBF"/>
    <w:multiLevelType w:val="hybridMultilevel"/>
    <w:tmpl w:val="82126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F0524"/>
    <w:multiLevelType w:val="hybridMultilevel"/>
    <w:tmpl w:val="CEB46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D31CB"/>
    <w:multiLevelType w:val="hybridMultilevel"/>
    <w:tmpl w:val="CBD2F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B04B2D"/>
    <w:multiLevelType w:val="hybridMultilevel"/>
    <w:tmpl w:val="A6660E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F0A6FFA"/>
    <w:multiLevelType w:val="hybridMultilevel"/>
    <w:tmpl w:val="28BC2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063714"/>
    <w:multiLevelType w:val="multilevel"/>
    <w:tmpl w:val="526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944A00"/>
    <w:multiLevelType w:val="multilevel"/>
    <w:tmpl w:val="3F0AF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56D0B"/>
    <w:multiLevelType w:val="multilevel"/>
    <w:tmpl w:val="112AB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C15F1A"/>
    <w:multiLevelType w:val="hybridMultilevel"/>
    <w:tmpl w:val="574A4E3A"/>
    <w:lvl w:ilvl="0" w:tplc="6D0E2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3F0D64"/>
    <w:multiLevelType w:val="hybridMultilevel"/>
    <w:tmpl w:val="B1905B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B97936"/>
    <w:multiLevelType w:val="hybridMultilevel"/>
    <w:tmpl w:val="9F4E1E94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E171E"/>
    <w:multiLevelType w:val="multilevel"/>
    <w:tmpl w:val="351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0C46635"/>
    <w:multiLevelType w:val="hybridMultilevel"/>
    <w:tmpl w:val="BC80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B6E3D4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526683"/>
    <w:multiLevelType w:val="multilevel"/>
    <w:tmpl w:val="1AA2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C171B1"/>
    <w:multiLevelType w:val="hybridMultilevel"/>
    <w:tmpl w:val="A14EC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121A6B"/>
    <w:multiLevelType w:val="hybridMultilevel"/>
    <w:tmpl w:val="874CD4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71123B"/>
    <w:multiLevelType w:val="hybridMultilevel"/>
    <w:tmpl w:val="AA9EDBA6"/>
    <w:lvl w:ilvl="0" w:tplc="702816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556913"/>
    <w:multiLevelType w:val="hybridMultilevel"/>
    <w:tmpl w:val="ABBA8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6D4E39"/>
    <w:multiLevelType w:val="hybridMultilevel"/>
    <w:tmpl w:val="5BBEED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204221"/>
    <w:multiLevelType w:val="hybridMultilevel"/>
    <w:tmpl w:val="46AED0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964C07"/>
    <w:multiLevelType w:val="hybridMultilevel"/>
    <w:tmpl w:val="DD2C5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14DD68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DD7010"/>
    <w:multiLevelType w:val="multilevel"/>
    <w:tmpl w:val="A61E4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877677"/>
    <w:multiLevelType w:val="hybridMultilevel"/>
    <w:tmpl w:val="866A2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A61CDB"/>
    <w:multiLevelType w:val="hybridMultilevel"/>
    <w:tmpl w:val="457E4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7264F"/>
    <w:multiLevelType w:val="hybridMultilevel"/>
    <w:tmpl w:val="96BC43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5F6787"/>
    <w:multiLevelType w:val="hybridMultilevel"/>
    <w:tmpl w:val="D7E28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1170E1"/>
    <w:multiLevelType w:val="hybridMultilevel"/>
    <w:tmpl w:val="05968FB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13"/>
  </w:num>
  <w:num w:numId="4">
    <w:abstractNumId w:val="7"/>
  </w:num>
  <w:num w:numId="5">
    <w:abstractNumId w:val="5"/>
  </w:num>
  <w:num w:numId="6">
    <w:abstractNumId w:val="21"/>
  </w:num>
  <w:num w:numId="7">
    <w:abstractNumId w:val="11"/>
  </w:num>
  <w:num w:numId="8">
    <w:abstractNumId w:val="6"/>
  </w:num>
  <w:num w:numId="9">
    <w:abstractNumId w:val="22"/>
  </w:num>
  <w:num w:numId="10">
    <w:abstractNumId w:val="0"/>
  </w:num>
  <w:num w:numId="11">
    <w:abstractNumId w:val="19"/>
  </w:num>
  <w:num w:numId="12">
    <w:abstractNumId w:val="16"/>
  </w:num>
  <w:num w:numId="13">
    <w:abstractNumId w:val="25"/>
  </w:num>
  <w:num w:numId="14">
    <w:abstractNumId w:val="14"/>
  </w:num>
  <w:num w:numId="15">
    <w:abstractNumId w:val="20"/>
  </w:num>
  <w:num w:numId="16">
    <w:abstractNumId w:val="12"/>
  </w:num>
  <w:num w:numId="17">
    <w:abstractNumId w:val="4"/>
  </w:num>
  <w:num w:numId="18">
    <w:abstractNumId w:val="15"/>
  </w:num>
  <w:num w:numId="19">
    <w:abstractNumId w:val="1"/>
  </w:num>
  <w:num w:numId="20">
    <w:abstractNumId w:val="18"/>
  </w:num>
  <w:num w:numId="21">
    <w:abstractNumId w:val="17"/>
  </w:num>
  <w:num w:numId="22">
    <w:abstractNumId w:val="2"/>
  </w:num>
  <w:num w:numId="23">
    <w:abstractNumId w:val="24"/>
  </w:num>
  <w:num w:numId="24">
    <w:abstractNumId w:val="23"/>
  </w:num>
  <w:num w:numId="25">
    <w:abstractNumId w:val="9"/>
  </w:num>
  <w:num w:numId="26">
    <w:abstractNumId w:val="3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B8E"/>
    <w:rsid w:val="00002B2F"/>
    <w:rsid w:val="00014873"/>
    <w:rsid w:val="00021B9E"/>
    <w:rsid w:val="00036A86"/>
    <w:rsid w:val="00072E11"/>
    <w:rsid w:val="000820B5"/>
    <w:rsid w:val="00084577"/>
    <w:rsid w:val="00101A5B"/>
    <w:rsid w:val="00116869"/>
    <w:rsid w:val="001178BE"/>
    <w:rsid w:val="00142577"/>
    <w:rsid w:val="001705A0"/>
    <w:rsid w:val="001808BF"/>
    <w:rsid w:val="001A1268"/>
    <w:rsid w:val="001B2027"/>
    <w:rsid w:val="001C4263"/>
    <w:rsid w:val="001E5D6D"/>
    <w:rsid w:val="00202380"/>
    <w:rsid w:val="0022096C"/>
    <w:rsid w:val="00222BFB"/>
    <w:rsid w:val="002605CF"/>
    <w:rsid w:val="00267AC3"/>
    <w:rsid w:val="00293B8E"/>
    <w:rsid w:val="002B2FD8"/>
    <w:rsid w:val="002E4E07"/>
    <w:rsid w:val="0032794D"/>
    <w:rsid w:val="00333D8F"/>
    <w:rsid w:val="0035250A"/>
    <w:rsid w:val="00352A36"/>
    <w:rsid w:val="003929D9"/>
    <w:rsid w:val="003979FC"/>
    <w:rsid w:val="003A5671"/>
    <w:rsid w:val="003C1CDA"/>
    <w:rsid w:val="00432E9C"/>
    <w:rsid w:val="00434389"/>
    <w:rsid w:val="00495BA5"/>
    <w:rsid w:val="004F6D52"/>
    <w:rsid w:val="00521DDA"/>
    <w:rsid w:val="00536E0F"/>
    <w:rsid w:val="00544AFC"/>
    <w:rsid w:val="00582900"/>
    <w:rsid w:val="00587518"/>
    <w:rsid w:val="005B62CC"/>
    <w:rsid w:val="005D45DB"/>
    <w:rsid w:val="005E1C3A"/>
    <w:rsid w:val="006247D8"/>
    <w:rsid w:val="00625BFA"/>
    <w:rsid w:val="00636C87"/>
    <w:rsid w:val="0064322B"/>
    <w:rsid w:val="006F2B5A"/>
    <w:rsid w:val="00755F10"/>
    <w:rsid w:val="007A33C0"/>
    <w:rsid w:val="007A6636"/>
    <w:rsid w:val="007F3F6B"/>
    <w:rsid w:val="00846E72"/>
    <w:rsid w:val="008D4D74"/>
    <w:rsid w:val="0095765A"/>
    <w:rsid w:val="009841A2"/>
    <w:rsid w:val="0098468E"/>
    <w:rsid w:val="00986EB7"/>
    <w:rsid w:val="009D62B4"/>
    <w:rsid w:val="009E2191"/>
    <w:rsid w:val="009F51C7"/>
    <w:rsid w:val="009F6298"/>
    <w:rsid w:val="00A0038B"/>
    <w:rsid w:val="00A124B7"/>
    <w:rsid w:val="00A34EE6"/>
    <w:rsid w:val="00A4101A"/>
    <w:rsid w:val="00A82A86"/>
    <w:rsid w:val="00B71E69"/>
    <w:rsid w:val="00B9699E"/>
    <w:rsid w:val="00BB28DB"/>
    <w:rsid w:val="00BD4124"/>
    <w:rsid w:val="00BF32CA"/>
    <w:rsid w:val="00C20AFF"/>
    <w:rsid w:val="00CB44E4"/>
    <w:rsid w:val="00D11011"/>
    <w:rsid w:val="00D27E27"/>
    <w:rsid w:val="00D933A8"/>
    <w:rsid w:val="00DD1E5F"/>
    <w:rsid w:val="00DE4771"/>
    <w:rsid w:val="00E06DCF"/>
    <w:rsid w:val="00E51965"/>
    <w:rsid w:val="00EB3D73"/>
    <w:rsid w:val="00F50AD7"/>
    <w:rsid w:val="00F51FB8"/>
    <w:rsid w:val="00F74DE1"/>
    <w:rsid w:val="00FA2A56"/>
    <w:rsid w:val="00FE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F22F5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003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4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841A2"/>
  </w:style>
  <w:style w:type="paragraph" w:styleId="a4">
    <w:name w:val="footer"/>
    <w:basedOn w:val="a"/>
    <w:link w:val="Char0"/>
    <w:uiPriority w:val="99"/>
    <w:unhideWhenUsed/>
    <w:rsid w:val="009841A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9841A2"/>
  </w:style>
  <w:style w:type="paragraph" w:styleId="a5">
    <w:name w:val="List Paragraph"/>
    <w:basedOn w:val="a"/>
    <w:uiPriority w:val="34"/>
    <w:qFormat/>
    <w:rsid w:val="001C426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D1E5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A0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A0038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D4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0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9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8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9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51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8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7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43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8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9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97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98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4675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alnaseem</dc:creator>
  <cp:lastModifiedBy>ALMadar</cp:lastModifiedBy>
  <cp:revision>66</cp:revision>
  <dcterms:created xsi:type="dcterms:W3CDTF">2024-10-11T16:32:00Z</dcterms:created>
  <dcterms:modified xsi:type="dcterms:W3CDTF">2024-10-11T18:37:00Z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1528715396</vt:i4>
  </property>
</Properties>
</file>