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F2F8F" w14:textId="4765BA72" w:rsidR="006F39EE" w:rsidRPr="006F39EE" w:rsidRDefault="00732BE5" w:rsidP="006F39EE">
      <w:pPr>
        <w:rPr>
          <w:rFonts w:cs="Arial"/>
          <w:rtl/>
        </w:rPr>
      </w:pPr>
      <w:r>
        <w:rPr>
          <w:rFonts w:cs="Arial" w:hint="cs"/>
          <w:rtl/>
        </w:rPr>
        <w:t xml:space="preserve"> </w:t>
      </w:r>
      <w:r w:rsidR="006F39EE" w:rsidRPr="006F39EE">
        <w:rPr>
          <w:rFonts w:cs="Arial"/>
          <w:rtl/>
        </w:rPr>
        <w:t xml:space="preserve">19 - القاعدة اذا تعارض المانع والمقتضي يقدم المانع </w:t>
      </w:r>
    </w:p>
    <w:p w14:paraId="2C305D90" w14:textId="77777777" w:rsidR="006F39EE" w:rsidRPr="006F39EE" w:rsidRDefault="006F39EE" w:rsidP="006F39EE">
      <w:pPr>
        <w:rPr>
          <w:rFonts w:cs="Arial"/>
          <w:rtl/>
        </w:rPr>
      </w:pPr>
    </w:p>
    <w:p w14:paraId="56822445" w14:textId="77777777" w:rsidR="006F39EE" w:rsidRPr="006F39EE" w:rsidRDefault="006F39EE" w:rsidP="006F39EE">
      <w:pPr>
        <w:rPr>
          <w:rFonts w:cs="Arial"/>
          <w:rtl/>
        </w:rPr>
      </w:pPr>
      <w:r w:rsidRPr="006F39EE">
        <w:rPr>
          <w:rFonts w:cs="Arial"/>
          <w:rtl/>
        </w:rPr>
        <w:t>مضمون هذه القاعدة هو انه اذا تعارض امران احدهما سبب يقتضى اعتبار عمل</w:t>
      </w:r>
    </w:p>
    <w:p w14:paraId="59B6456E" w14:textId="77777777" w:rsidR="006F39EE" w:rsidRPr="006F39EE" w:rsidRDefault="006F39EE" w:rsidP="006F39EE">
      <w:pPr>
        <w:rPr>
          <w:rFonts w:cs="Arial"/>
          <w:rtl/>
        </w:rPr>
      </w:pPr>
    </w:p>
    <w:p w14:paraId="4092690C" w14:textId="77777777" w:rsidR="006F39EE" w:rsidRPr="006F39EE" w:rsidRDefault="006F39EE" w:rsidP="006F39EE">
      <w:pPr>
        <w:rPr>
          <w:rFonts w:cs="Arial"/>
          <w:rtl/>
        </w:rPr>
      </w:pPr>
      <w:r w:rsidRPr="006F39EE">
        <w:rPr>
          <w:rFonts w:cs="Arial"/>
          <w:rtl/>
        </w:rPr>
        <w:t>والثاني مانع يقتضى عدم اعتباره، فيرجح المانع على المقتضي، لأن السبب لا يترتب</w:t>
      </w:r>
    </w:p>
    <w:p w14:paraId="4BD4D444" w14:textId="77777777" w:rsidR="006F39EE" w:rsidRPr="006F39EE" w:rsidRDefault="006F39EE" w:rsidP="006F39EE">
      <w:pPr>
        <w:rPr>
          <w:rFonts w:cs="Arial"/>
          <w:rtl/>
        </w:rPr>
      </w:pPr>
    </w:p>
    <w:p w14:paraId="3EE0058D" w14:textId="77777777" w:rsidR="006F39EE" w:rsidRPr="006F39EE" w:rsidRDefault="006F39EE" w:rsidP="006F39EE">
      <w:pPr>
        <w:rPr>
          <w:rFonts w:cs="Arial"/>
          <w:rtl/>
        </w:rPr>
      </w:pPr>
      <w:r w:rsidRPr="006F39EE">
        <w:rPr>
          <w:rFonts w:cs="Arial"/>
          <w:rtl/>
        </w:rPr>
        <w:t>عليه الأحكام ما لم تتوفر شروطه وتنتفى موانعه.</w:t>
      </w:r>
    </w:p>
    <w:p w14:paraId="3341CBB0" w14:textId="77777777" w:rsidR="006F39EE" w:rsidRPr="006F39EE" w:rsidRDefault="006F39EE" w:rsidP="006F39EE">
      <w:pPr>
        <w:rPr>
          <w:rFonts w:cs="Arial"/>
          <w:rtl/>
        </w:rPr>
      </w:pPr>
    </w:p>
    <w:p w14:paraId="7E2FF421" w14:textId="77777777" w:rsidR="006F39EE" w:rsidRPr="006F39EE" w:rsidRDefault="006F39EE" w:rsidP="006F39EE">
      <w:pPr>
        <w:rPr>
          <w:rFonts w:cs="Arial"/>
          <w:rtl/>
        </w:rPr>
      </w:pPr>
      <w:r w:rsidRPr="006F39EE">
        <w:rPr>
          <w:rFonts w:cs="Arial"/>
          <w:rtl/>
        </w:rPr>
        <w:t>الأحكام المترتبة على هذه القاعدة:</w:t>
      </w:r>
    </w:p>
    <w:p w14:paraId="10B583FC" w14:textId="77777777" w:rsidR="006F39EE" w:rsidRPr="006F39EE" w:rsidRDefault="006F39EE" w:rsidP="006F39EE">
      <w:pPr>
        <w:rPr>
          <w:rFonts w:cs="Arial"/>
          <w:rtl/>
        </w:rPr>
      </w:pPr>
    </w:p>
    <w:p w14:paraId="1E9526E7" w14:textId="77777777" w:rsidR="006F39EE" w:rsidRPr="006F39EE" w:rsidRDefault="006F39EE" w:rsidP="006F39EE">
      <w:pPr>
        <w:rPr>
          <w:rFonts w:cs="Arial"/>
          <w:rtl/>
        </w:rPr>
      </w:pPr>
      <w:r w:rsidRPr="006F39EE">
        <w:rPr>
          <w:rFonts w:cs="Arial"/>
          <w:rtl/>
        </w:rPr>
        <w:t>يتفرع عن هذه القاعدة أحكام فرعية منها :</w:t>
      </w:r>
    </w:p>
    <w:p w14:paraId="5B0222EA" w14:textId="77777777" w:rsidR="006F39EE" w:rsidRPr="006F39EE" w:rsidRDefault="006F39EE" w:rsidP="006F39EE">
      <w:pPr>
        <w:rPr>
          <w:rFonts w:cs="Arial"/>
          <w:rtl/>
        </w:rPr>
      </w:pPr>
    </w:p>
    <w:p w14:paraId="7C025148" w14:textId="77777777" w:rsidR="006F39EE" w:rsidRPr="006F39EE" w:rsidRDefault="006F39EE" w:rsidP="006F39EE">
      <w:pPr>
        <w:rPr>
          <w:rFonts w:cs="Arial"/>
          <w:rtl/>
        </w:rPr>
      </w:pPr>
      <w:r w:rsidRPr="006F39EE">
        <w:rPr>
          <w:rFonts w:cs="Arial"/>
          <w:rtl/>
        </w:rPr>
        <w:t>أ- اذا باع المدين الراهن المال المرهون المحبوس لدى الدائن المرتهن، لا ينفذ العقد</w:t>
      </w:r>
    </w:p>
    <w:p w14:paraId="7FF53508" w14:textId="77777777" w:rsidR="006F39EE" w:rsidRPr="006F39EE" w:rsidRDefault="006F39EE" w:rsidP="006F39EE">
      <w:pPr>
        <w:rPr>
          <w:rFonts w:cs="Arial"/>
          <w:rtl/>
        </w:rPr>
      </w:pPr>
    </w:p>
    <w:p w14:paraId="7D007A19" w14:textId="77777777" w:rsidR="006F39EE" w:rsidRPr="006F39EE" w:rsidRDefault="006F39EE" w:rsidP="006F39EE">
      <w:pPr>
        <w:rPr>
          <w:rFonts w:cs="Arial"/>
          <w:rtl/>
        </w:rPr>
      </w:pPr>
      <w:r w:rsidRPr="006F39EE">
        <w:rPr>
          <w:rFonts w:cs="Arial"/>
          <w:rtl/>
        </w:rPr>
        <w:t>بل يكون موقوفاً على إجازة الدائن المرتهن لتعلق حقه به، ولو اعتبر نافذاً لزال</w:t>
      </w:r>
    </w:p>
    <w:p w14:paraId="16591D93" w14:textId="77777777" w:rsidR="006F39EE" w:rsidRPr="006F39EE" w:rsidRDefault="006F39EE" w:rsidP="006F39EE">
      <w:pPr>
        <w:rPr>
          <w:rFonts w:cs="Arial"/>
          <w:rtl/>
        </w:rPr>
      </w:pPr>
    </w:p>
    <w:p w14:paraId="73D05A0E" w14:textId="77777777" w:rsidR="006F39EE" w:rsidRPr="006F39EE" w:rsidRDefault="006F39EE" w:rsidP="006F39EE">
      <w:pPr>
        <w:rPr>
          <w:rFonts w:cs="Arial"/>
          <w:rtl/>
        </w:rPr>
      </w:pPr>
      <w:r w:rsidRPr="006F39EE">
        <w:rPr>
          <w:rFonts w:cs="Arial"/>
          <w:rtl/>
        </w:rPr>
        <w:t>الحبس الذي هو من أحكام الرهن، فملكية المدين للمرهون سبب مقتض الجواز</w:t>
      </w:r>
    </w:p>
    <w:p w14:paraId="1B1BBA22" w14:textId="77777777" w:rsidR="006F39EE" w:rsidRPr="006F39EE" w:rsidRDefault="006F39EE" w:rsidP="006F39EE">
      <w:pPr>
        <w:rPr>
          <w:rFonts w:cs="Arial"/>
          <w:rtl/>
        </w:rPr>
      </w:pPr>
    </w:p>
    <w:p w14:paraId="11C0652C" w14:textId="77777777" w:rsidR="006F39EE" w:rsidRPr="006F39EE" w:rsidRDefault="006F39EE" w:rsidP="006F39EE">
      <w:pPr>
        <w:rPr>
          <w:rFonts w:cs="Arial"/>
          <w:rtl/>
        </w:rPr>
      </w:pPr>
      <w:r w:rsidRPr="006F39EE">
        <w:rPr>
          <w:rFonts w:cs="Arial"/>
          <w:rtl/>
        </w:rPr>
        <w:t>ونفاذ التصرف فيه، وتعلق حق الدائن به مانع من نفاذه في الفقه الإسلامي</w:t>
      </w:r>
    </w:p>
    <w:p w14:paraId="1CF61304" w14:textId="77777777" w:rsidR="006F39EE" w:rsidRPr="006F39EE" w:rsidRDefault="006F39EE" w:rsidP="006F39EE">
      <w:pPr>
        <w:rPr>
          <w:rFonts w:cs="Arial"/>
          <w:rtl/>
        </w:rPr>
      </w:pPr>
    </w:p>
    <w:p w14:paraId="1EAF9C25" w14:textId="012F649E" w:rsidR="00AE675D" w:rsidRPr="00374A83" w:rsidRDefault="006F39EE" w:rsidP="00374A83">
      <w:pPr>
        <w:rPr>
          <w:rFonts w:cs="Arial"/>
        </w:rPr>
      </w:pPr>
      <w:r w:rsidRPr="006F39EE">
        <w:rPr>
          <w:rFonts w:cs="Arial"/>
          <w:rtl/>
        </w:rPr>
        <w:t>فيقدم المانع على المقتضى</w:t>
      </w:r>
      <w:r>
        <w:rPr>
          <w:rFonts w:cs="Arial" w:hint="cs"/>
          <w:rtl/>
        </w:rPr>
        <w:t xml:space="preserve"> </w:t>
      </w:r>
    </w:p>
    <w:sectPr w:rsidR="00AE675D" w:rsidRPr="00374A83" w:rsidSect="00AE67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75D"/>
    <w:rsid w:val="00374A83"/>
    <w:rsid w:val="004071D6"/>
    <w:rsid w:val="00474F5C"/>
    <w:rsid w:val="0065237C"/>
    <w:rsid w:val="00697CAC"/>
    <w:rsid w:val="006F2B83"/>
    <w:rsid w:val="006F39EE"/>
    <w:rsid w:val="00732BE5"/>
    <w:rsid w:val="007B3A6A"/>
    <w:rsid w:val="00AE675D"/>
    <w:rsid w:val="00EE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61B0EB18"/>
  <w15:chartTrackingRefBased/>
  <w15:docId w15:val="{04610568-2B7D-0C45-A2C6-193ABE16A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muna.mohammed.khadim@uomus.edu.iq</cp:lastModifiedBy>
  <cp:revision>2</cp:revision>
  <dcterms:created xsi:type="dcterms:W3CDTF">2024-03-23T22:38:00Z</dcterms:created>
  <dcterms:modified xsi:type="dcterms:W3CDTF">2024-03-23T22:38:00Z</dcterms:modified>
</cp:coreProperties>
</file>