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9059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54188F0" w14:textId="77777777" w:rsidR="00233EE0" w:rsidRDefault="00000000">
      <w:pPr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7F465AC1" wp14:editId="49149C84">
            <wp:extent cx="2007189" cy="214988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189" cy="21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                   </w:t>
      </w: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36C55E47" wp14:editId="4CBE99F7">
            <wp:extent cx="2238375" cy="23526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F3A87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64E510A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42BBC42F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86214CB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noProof/>
        </w:rPr>
        <w:pict w14:anchorId="47258035">
          <v:rect id="_x0000_i1025" alt="" style="width:451.6pt;height:.05pt;mso-width-percent:0;mso-height-percent:0;mso-width-percent:0;mso-height-percent:0" o:hrpct="965" o:hralign="center" o:hrstd="t" o:hr="t" fillcolor="#a0a0a0" stroked="f"/>
        </w:pict>
      </w:r>
    </w:p>
    <w:p w14:paraId="25C481CB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EB41E9C" w14:textId="0C167CFB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Oral </w:t>
      </w:r>
      <w:r w:rsidR="00B35F9C">
        <w:rPr>
          <w:rFonts w:ascii="Playfair Display" w:eastAsia="Playfair Display" w:hAnsi="Playfair Display" w:cs="Playfair Display"/>
          <w:b/>
          <w:sz w:val="48"/>
          <w:szCs w:val="48"/>
        </w:rPr>
        <w:t>Pathology</w:t>
      </w: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 </w:t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</w:t>
      </w:r>
    </w:p>
    <w:p w14:paraId="5F074D04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6228685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noProof/>
        </w:rPr>
        <w:pict w14:anchorId="04B4452D">
          <v:rect id="_x0000_i1026" alt="" style="width:451.6pt;height:.05pt;mso-width-percent:0;mso-height-percent:0;mso-width-percent:0;mso-height-percent:0" o:hrpct="965" o:hralign="center" o:hrstd="t" o:hr="t" fillcolor="#a0a0a0" stroked="f"/>
        </w:pict>
      </w:r>
    </w:p>
    <w:p w14:paraId="658F5DA7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808B87E" w14:textId="77777777" w:rsidR="00233EE0" w:rsidRDefault="00000000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Montserrat" w:eastAsia="Montserrat" w:hAnsi="Montserrat" w:cs="Montserrat"/>
          <w:sz w:val="36"/>
          <w:szCs w:val="36"/>
        </w:rPr>
        <w:t>Prof. Dr.Muna Merza</w:t>
      </w:r>
    </w:p>
    <w:p w14:paraId="119A9809" w14:textId="77777777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756AAA4C" w14:textId="44A9D947" w:rsidR="00E97924" w:rsidRDefault="00AE3C3B" w:rsidP="009D394B">
      <w:pPr>
        <w:autoSpaceDE w:val="0"/>
        <w:autoSpaceDN w:val="0"/>
        <w:adjustRightInd w:val="0"/>
        <w:spacing w:line="240" w:lineRule="auto"/>
        <w:jc w:val="center"/>
        <w:rPr>
          <w:rFonts w:ascii="Calibri-Bold" w:hAnsi="Calibri-Bold" w:cs="Calibri-Bold"/>
          <w:b/>
          <w:bCs/>
          <w:color w:val="000000"/>
          <w:sz w:val="40"/>
          <w:szCs w:val="40"/>
        </w:rPr>
      </w:pPr>
      <w:r w:rsidRPr="002C11CE">
        <w:rPr>
          <w:rFonts w:asciiTheme="majorBidi" w:eastAsia="Playfair Display" w:hAnsiTheme="majorBidi" w:cstheme="majorBidi"/>
          <w:b/>
          <w:bCs/>
          <w:sz w:val="44"/>
          <w:szCs w:val="44"/>
        </w:rPr>
        <w:t xml:space="preserve">Lecture </w:t>
      </w:r>
      <w:r w:rsidR="00C6304F">
        <w:rPr>
          <w:rFonts w:asciiTheme="majorBidi" w:eastAsia="Playfair Display" w:hAnsiTheme="majorBidi" w:cstheme="majorBidi"/>
          <w:b/>
          <w:bCs/>
          <w:sz w:val="44"/>
          <w:szCs w:val="44"/>
        </w:rPr>
        <w:t>1</w:t>
      </w:r>
      <w:r w:rsidR="009D394B">
        <w:rPr>
          <w:rFonts w:asciiTheme="majorBidi" w:eastAsia="Playfair Display" w:hAnsiTheme="majorBidi" w:cstheme="majorBidi"/>
          <w:b/>
          <w:bCs/>
          <w:sz w:val="44"/>
          <w:szCs w:val="44"/>
        </w:rPr>
        <w:t>3</w:t>
      </w:r>
      <w:r w:rsidRPr="002C11CE">
        <w:rPr>
          <w:rFonts w:asciiTheme="majorBidi" w:hAnsiTheme="majorBidi" w:cstheme="majorBidi"/>
          <w:b/>
          <w:bCs/>
          <w:sz w:val="44"/>
          <w:szCs w:val="44"/>
        </w:rPr>
        <w:t xml:space="preserve">  </w:t>
      </w:r>
      <w:r w:rsidR="00C649EF" w:rsidRPr="002C11CE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r w:rsidR="009D394B">
        <w:rPr>
          <w:rFonts w:ascii="Calibri-Bold" w:hAnsi="Calibri-Bold" w:cs="Calibri-Bold"/>
          <w:b/>
          <w:bCs/>
          <w:color w:val="000000"/>
          <w:sz w:val="40"/>
          <w:szCs w:val="40"/>
        </w:rPr>
        <w:t xml:space="preserve">Bone Disease  </w:t>
      </w:r>
    </w:p>
    <w:p w14:paraId="0F643790" w14:textId="77777777" w:rsidR="009D394B" w:rsidRDefault="009D394B" w:rsidP="009D394B">
      <w:pPr>
        <w:autoSpaceDE w:val="0"/>
        <w:autoSpaceDN w:val="0"/>
        <w:adjustRightInd w:val="0"/>
        <w:spacing w:line="240" w:lineRule="auto"/>
        <w:jc w:val="center"/>
        <w:rPr>
          <w:rFonts w:ascii="Calibri-Bold" w:hAnsi="Calibri-Bold" w:cs="Calibri-Bold"/>
          <w:b/>
          <w:bCs/>
          <w:color w:val="000000"/>
          <w:sz w:val="40"/>
          <w:szCs w:val="40"/>
        </w:rPr>
      </w:pPr>
    </w:p>
    <w:p w14:paraId="28A10EFD" w14:textId="77777777" w:rsidR="009D394B" w:rsidRPr="00C6304F" w:rsidRDefault="009D394B" w:rsidP="009D394B">
      <w:pPr>
        <w:autoSpaceDE w:val="0"/>
        <w:autoSpaceDN w:val="0"/>
        <w:adjustRightInd w:val="0"/>
        <w:spacing w:line="240" w:lineRule="auto"/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A8241A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21C9FA5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0F2554D6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F4896C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DB5969B" w14:textId="5A54ADBE" w:rsidR="004D0031" w:rsidRDefault="00B35F9C" w:rsidP="005468F2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Le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 xml:space="preserve">c. </w:t>
      </w:r>
      <w:r w:rsidR="00C6304F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9D394B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B85797">
        <w:rPr>
          <w:rFonts w:asciiTheme="majorBidi" w:hAnsiTheme="majorBidi" w:cstheme="majorBidi"/>
          <w:b/>
          <w:bCs/>
          <w:sz w:val="36"/>
          <w:szCs w:val="36"/>
        </w:rPr>
        <w:t xml:space="preserve">              ORAL PATHOLOGY                 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>Dr. Muna</w:t>
      </w:r>
    </w:p>
    <w:p w14:paraId="5A641581" w14:textId="77777777" w:rsidR="00C6304F" w:rsidRDefault="00C6304F" w:rsidP="005468F2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14:paraId="20DD1B20" w14:textId="6E859E09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bookmarkStart w:id="0" w:name="_Hlk183696723"/>
      <w:r>
        <w:rPr>
          <w:rFonts w:ascii="Calibri-Bold" w:hAnsi="Calibri-Bold" w:cs="Calibri-Bold"/>
          <w:b/>
          <w:bCs/>
          <w:color w:val="000000"/>
          <w:sz w:val="40"/>
          <w:szCs w:val="40"/>
        </w:rPr>
        <w:t xml:space="preserve">Bone Disease </w:t>
      </w:r>
      <w:r>
        <w:rPr>
          <w:rFonts w:ascii="Calibri-Bold" w:hAnsi="Calibri-Bold" w:cs="Calibri-Bold"/>
          <w:b/>
          <w:bCs/>
          <w:color w:val="000000"/>
          <w:sz w:val="40"/>
          <w:szCs w:val="40"/>
        </w:rPr>
        <w:t xml:space="preserve"> </w:t>
      </w:r>
      <w:bookmarkEnd w:id="0"/>
    </w:p>
    <w:p w14:paraId="5D665B49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Classification :</w:t>
      </w:r>
    </w:p>
    <w:p w14:paraId="3AC8F65B" w14:textId="45C8BDBA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FF0000"/>
          <w:sz w:val="32"/>
          <w:szCs w:val="32"/>
        </w:rPr>
      </w:pPr>
    </w:p>
    <w:p w14:paraId="721635CB" w14:textId="51EFB071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1-Inherited and developmental disorders of bone</w:t>
      </w:r>
    </w:p>
    <w:p w14:paraId="591A98DE" w14:textId="7350CCBE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2-Inflammatory diseases of bone </w:t>
      </w:r>
    </w:p>
    <w:p w14:paraId="540EC3D7" w14:textId="28D29A90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SymbolMT" w:hAnsi="SymbolMT" w:cs="SymbolMT"/>
          <w:color w:val="FF0000"/>
          <w:sz w:val="32"/>
          <w:szCs w:val="32"/>
        </w:rPr>
      </w:pPr>
      <w:r>
        <w:rPr>
          <w:rFonts w:ascii="Calibri" w:hAnsi="Calibri" w:cs="Calibri"/>
          <w:color w:val="FF0000"/>
          <w:sz w:val="32"/>
          <w:szCs w:val="32"/>
        </w:rPr>
        <w:t xml:space="preserve">      </w:t>
      </w:r>
      <w:r>
        <w:rPr>
          <w:rFonts w:ascii="Calibri" w:hAnsi="Calibri" w:cs="Calibri"/>
          <w:color w:val="FF0000"/>
          <w:sz w:val="32"/>
          <w:szCs w:val="32"/>
        </w:rPr>
        <w:t>Dry socket ( alveolar osteitis )</w:t>
      </w:r>
    </w:p>
    <w:p w14:paraId="0D81DF24" w14:textId="78E73761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3-Metabolic and Endocrine disorder of bone :</w:t>
      </w:r>
    </w:p>
    <w:p w14:paraId="4A5A2632" w14:textId="59448C62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7F7815E4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Dry socket </w:t>
      </w:r>
      <w:r>
        <w:rPr>
          <w:rFonts w:ascii="Times New Roman" w:hAnsi="Times New Roman" w:cs="Times New Roman"/>
          <w:color w:val="000000"/>
          <w:sz w:val="32"/>
          <w:szCs w:val="32"/>
        </w:rPr>
        <w:t>: occur most commonly following the extraction of a molar particularly lower molar , also occur with difficult extractions , especially extraction of impacted lower third molars , smoking patients also been identified as a risk factor.</w:t>
      </w:r>
    </w:p>
    <w:p w14:paraId="3CECC1D7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Causes : </w:t>
      </w:r>
      <w:r>
        <w:rPr>
          <w:rFonts w:ascii="Times New Roman" w:hAnsi="Times New Roman" w:cs="Times New Roman"/>
          <w:color w:val="000000"/>
          <w:sz w:val="32"/>
          <w:szCs w:val="32"/>
        </w:rPr>
        <w:t>loss of protection by blood clot :</w:t>
      </w:r>
    </w:p>
    <w:p w14:paraId="4AF545E5" w14:textId="328043AE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Wingdings-Regular" w:eastAsia="Wingdings-Regular" w:hAnsi="Calibri-Bold" w:cs="Wingdings-Regular"/>
          <w:color w:val="000000"/>
          <w:sz w:val="32"/>
          <w:szCs w:val="32"/>
        </w:rPr>
      </w:pPr>
      <w:r>
        <w:rPr>
          <w:rFonts w:eastAsia="Wingdings-Regular"/>
          <w:color w:val="000000"/>
          <w:sz w:val="32"/>
          <w:szCs w:val="32"/>
        </w:rPr>
        <w:t>▪</w:t>
      </w:r>
      <w:r>
        <w:rPr>
          <w:rFonts w:ascii="Calibri" w:hAnsi="Calibri" w:cs="Calibri"/>
          <w:color w:val="000000"/>
          <w:sz w:val="32"/>
          <w:szCs w:val="32"/>
        </w:rPr>
        <w:t>Failure to form clot .</w:t>
      </w:r>
    </w:p>
    <w:p w14:paraId="6697FF3F" w14:textId="7DB13AFB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Wingdings-Regular" w:eastAsia="Wingdings-Regular" w:hAnsi="Calibri-Bold" w:cs="Wingdings-Regular"/>
          <w:color w:val="000000"/>
          <w:sz w:val="32"/>
          <w:szCs w:val="32"/>
        </w:rPr>
      </w:pPr>
      <w:r>
        <w:rPr>
          <w:rFonts w:eastAsia="Wingdings-Regular"/>
          <w:color w:val="000000"/>
          <w:sz w:val="32"/>
          <w:szCs w:val="32"/>
        </w:rPr>
        <w:t>▪</w:t>
      </w:r>
      <w:r>
        <w:rPr>
          <w:rFonts w:ascii="Calibri" w:hAnsi="Calibri" w:cs="Calibri"/>
          <w:color w:val="000000"/>
          <w:sz w:val="32"/>
          <w:szCs w:val="32"/>
        </w:rPr>
        <w:t>Dislodgment if clot .</w:t>
      </w:r>
    </w:p>
    <w:p w14:paraId="4A41A2ED" w14:textId="1330A80C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Wingdings-Regular" w:eastAsia="Wingdings-Regular" w:hAnsi="Calibri-Bold" w:cs="Wingdings-Regular"/>
          <w:color w:val="000000"/>
          <w:sz w:val="32"/>
          <w:szCs w:val="32"/>
        </w:rPr>
      </w:pPr>
      <w:r>
        <w:rPr>
          <w:rFonts w:eastAsia="Wingdings-Regular"/>
          <w:color w:val="000000"/>
          <w:sz w:val="32"/>
          <w:szCs w:val="32"/>
        </w:rPr>
        <w:t>▪</w:t>
      </w:r>
      <w:r>
        <w:rPr>
          <w:rFonts w:ascii="Calibri" w:hAnsi="Calibri" w:cs="Calibri"/>
          <w:color w:val="000000"/>
          <w:sz w:val="32"/>
          <w:szCs w:val="32"/>
        </w:rPr>
        <w:t>Breakdown of clot .</w:t>
      </w:r>
    </w:p>
    <w:p w14:paraId="531444D3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It is a localized inflammation of the bone , associated with sever pain developing a few days after the extraction.</w:t>
      </w:r>
    </w:p>
    <w:p w14:paraId="015FCD82" w14:textId="4CAB8763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FF0000"/>
          <w:sz w:val="32"/>
          <w:szCs w:val="32"/>
        </w:rPr>
      </w:pPr>
      <w:r w:rsidRPr="009D394B">
        <w:rPr>
          <w:rFonts w:ascii="Calibri-Bold" w:hAnsi="Calibri-Bold" w:cs="Calibri-Bold"/>
          <w:b/>
          <w:bCs/>
          <w:color w:val="FF0000"/>
          <w:sz w:val="32"/>
          <w:szCs w:val="32"/>
        </w:rPr>
        <w:t>●</w:t>
      </w:r>
      <w:r w:rsidRPr="009D394B">
        <w:rPr>
          <w:rFonts w:ascii="Times New Roman" w:hAnsi="Times New Roman" w:cs="Times New Roman"/>
          <w:b/>
          <w:bCs/>
          <w:color w:val="FF0000"/>
          <w:sz w:val="32"/>
          <w:szCs w:val="32"/>
        </w:rPr>
        <w:t>Paget's disease of bone :</w:t>
      </w:r>
    </w:p>
    <w:p w14:paraId="535BB62A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Probably a slow-virus infection characterized by enlargement and deformity of bones (rare under 40 years of age ).Jaw lesions more common in maxilla .</w:t>
      </w:r>
    </w:p>
    <w:p w14:paraId="00683D1C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Clinically: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patients show varying degrees of bony deformity ,others common complaints are bone pain ,sensory and motor disturbances related to cranial nerves ,these include :- </w:t>
      </w:r>
      <w:r>
        <w:rPr>
          <w:rFonts w:ascii="Times New Roman" w:hAnsi="Times New Roman" w:cs="Times New Roman"/>
          <w:color w:val="FF0000"/>
          <w:sz w:val="32"/>
          <w:szCs w:val="32"/>
        </w:rPr>
        <w:t>blindness , deafness and facial paralysis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14:paraId="39FCFD91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In edentulous patients a difficulties in wearing dentures because the jaw increase in size </w:t>
      </w:r>
      <w:r>
        <w:rPr>
          <w:rFonts w:ascii="Times New Roman" w:hAnsi="Times New Roman" w:cs="Times New Roman"/>
          <w:color w:val="4472C5"/>
          <w:sz w:val="32"/>
          <w:szCs w:val="32"/>
        </w:rPr>
        <w:t xml:space="preserve">so remade periodically 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14:paraId="39986577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Pathology : </w:t>
      </w:r>
      <w:r>
        <w:rPr>
          <w:rFonts w:ascii="Times New Roman" w:hAnsi="Times New Roman" w:cs="Times New Roman"/>
          <w:color w:val="000000"/>
          <w:sz w:val="32"/>
          <w:szCs w:val="32"/>
        </w:rPr>
        <w:t>disorganized bone remodeling which is a feature of the disease. The lesions show combinations of osteoclast and osteoplastic activity unrelated to normal functions.</w:t>
      </w:r>
    </w:p>
    <w:p w14:paraId="26795A87" w14:textId="77777777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9D394B">
        <w:rPr>
          <w:rFonts w:ascii="Times New Roman" w:hAnsi="Times New Roman" w:cs="Times New Roman"/>
          <w:b/>
          <w:bCs/>
          <w:color w:val="FF0000"/>
          <w:sz w:val="36"/>
          <w:szCs w:val="36"/>
        </w:rPr>
        <w:t>Torus palatinus (Exostoses), Torus mandibularis:</w:t>
      </w:r>
    </w:p>
    <w:p w14:paraId="1892ADC9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Exostoses :describe a variety of bony outgrowths, may have arisen in response to a stimulus such as chronic trauma</w:t>
      </w:r>
    </w:p>
    <w:p w14:paraId="4E21A919" w14:textId="77777777" w:rsidR="009D394B" w:rsidRP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D394B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A Torus :</w:t>
      </w:r>
    </w:p>
    <w:p w14:paraId="7C60FCF2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is an exostosis occurs at a characteristic site either in midline of palate (torus palatinus) or on the lingual surface of the mandible , usually in the premolar region. Above the mylohyoid line (torus mandibularis). Which are frequently bilateral , less occur than palatal tori .</w:t>
      </w:r>
    </w:p>
    <w:p w14:paraId="2FD4BA17" w14:textId="38D4752D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Etiology </w:t>
      </w:r>
      <w:r>
        <w:rPr>
          <w:rFonts w:ascii="Times New Roman" w:hAnsi="Times New Roman" w:cs="Times New Roman"/>
          <w:color w:val="000000"/>
          <w:sz w:val="32"/>
          <w:szCs w:val="32"/>
        </w:rPr>
        <w:t>:unknown but suggest hereditary factors or response to a stimulus such as chronic trauma.</w:t>
      </w:r>
      <w:r w:rsidRPr="009D394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9D394B"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 wp14:anchorId="0A032212" wp14:editId="21D9BA80">
            <wp:extent cx="1466850" cy="1371600"/>
            <wp:effectExtent l="0" t="0" r="0" b="0"/>
            <wp:docPr id="22075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3C6AC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Histology: </w:t>
      </w:r>
      <w:r>
        <w:rPr>
          <w:rFonts w:ascii="Times New Roman" w:hAnsi="Times New Roman" w:cs="Times New Roman"/>
          <w:color w:val="000000"/>
          <w:sz w:val="32"/>
          <w:szCs w:val="32"/>
        </w:rPr>
        <w:t>composed of dense ,cortical bone or consist of cancellous bone with shell of cortical bone</w:t>
      </w:r>
    </w:p>
    <w:p w14:paraId="39195E72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Osteoma :</w:t>
      </w:r>
    </w:p>
    <w:p w14:paraId="1D490A77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Is a benign slow growing tumor consisting of well- differentiated mature bone, effect mandible more than maxilla and more common in forehead</w:t>
      </w:r>
    </w:p>
    <w:p w14:paraId="1C2FCC6A" w14:textId="7716644B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D394B"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 wp14:anchorId="00FE5E01" wp14:editId="2462A310">
            <wp:extent cx="1238250" cy="698500"/>
            <wp:effectExtent l="0" t="0" r="0" b="6350"/>
            <wp:docPr id="1158874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42E9" w14:textId="77777777" w:rsidR="009D394B" w:rsidRDefault="009D394B" w:rsidP="009D39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Histologically: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osteomas can be divided into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compact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and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cancellous </w:t>
      </w:r>
      <w:r>
        <w:rPr>
          <w:rFonts w:ascii="Times New Roman" w:hAnsi="Times New Roman" w:cs="Times New Roman"/>
          <w:color w:val="000000"/>
          <w:sz w:val="32"/>
          <w:szCs w:val="32"/>
        </w:rPr>
        <w:t>types . The compact osteoma consist of a mass of dense Lamellar bone with few marrow spaces .</w:t>
      </w:r>
    </w:p>
    <w:p w14:paraId="55138544" w14:textId="61CAA9A7" w:rsidR="003604A4" w:rsidRPr="00E46EAE" w:rsidRDefault="009D394B" w:rsidP="009D394B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sz w:val="32"/>
          <w:szCs w:val="32"/>
        </w:rPr>
        <w:t>The cancellous type is made up of interconnecting trabeculae enclosing fatty or fibrous marrow .</w:t>
      </w:r>
    </w:p>
    <w:sectPr w:rsidR="003604A4" w:rsidRPr="00E46EA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A0254" w14:textId="77777777" w:rsidR="00E07595" w:rsidRDefault="00E07595">
      <w:pPr>
        <w:spacing w:line="240" w:lineRule="auto"/>
      </w:pPr>
      <w:r>
        <w:separator/>
      </w:r>
    </w:p>
  </w:endnote>
  <w:endnote w:type="continuationSeparator" w:id="0">
    <w:p w14:paraId="7F65EEC4" w14:textId="77777777" w:rsidR="00E07595" w:rsidRDefault="00E075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4BA62F59-7F33-45EE-B153-AB3D0DED64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721EE89-690B-4E2F-BA85-D041D5DE82FE}"/>
    <w:embedBold r:id="rId3" w:fontKey="{A6BDC938-EF8B-43DD-A212-326E5568197A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4" w:fontKey="{AECF53E3-64D1-4413-9B9B-C20811200495}"/>
    <w:embedBold r:id="rId5" w:fontKey="{A5D08E74-42C7-4D9E-BBCE-6A2C2422AE7E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33BAB51D-561A-4C2F-82BC-88904DFE44B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7" w:fontKey="{ED005917-B075-47AA-BCC2-E514A4976355}"/>
    <w:embedBold r:id="rId8" w:fontKey="{9F42C0C9-E140-411D-8F35-4CBBCE3ECA0E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9" w:fontKey="{EEF7E2CD-F1B7-436C-A677-7D8359CDD3B3}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27DF2CD3-50F2-4BEA-8F51-78AFE5CC7191}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C6545" w14:textId="77777777" w:rsidR="00E07595" w:rsidRDefault="00E07595">
      <w:pPr>
        <w:spacing w:line="240" w:lineRule="auto"/>
      </w:pPr>
      <w:r>
        <w:separator/>
      </w:r>
    </w:p>
  </w:footnote>
  <w:footnote w:type="continuationSeparator" w:id="0">
    <w:p w14:paraId="7D39E932" w14:textId="77777777" w:rsidR="00E07595" w:rsidRDefault="00E075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1EAA"/>
    <w:multiLevelType w:val="hybridMultilevel"/>
    <w:tmpl w:val="4D3EBA6A"/>
    <w:lvl w:ilvl="0" w:tplc="CD745D78">
      <w:start w:val="1"/>
      <w:numFmt w:val="decimal"/>
      <w:lvlText w:val="%1-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20FBD"/>
    <w:multiLevelType w:val="hybridMultilevel"/>
    <w:tmpl w:val="37F03DFC"/>
    <w:lvl w:ilvl="0" w:tplc="B83A2F9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F2375FD"/>
    <w:multiLevelType w:val="hybridMultilevel"/>
    <w:tmpl w:val="08E0FCA4"/>
    <w:lvl w:ilvl="0" w:tplc="7EF4B6E0">
      <w:start w:val="1"/>
      <w:numFmt w:val="decimal"/>
      <w:lvlText w:val="%1-"/>
      <w:lvlJc w:val="left"/>
      <w:pPr>
        <w:ind w:left="4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148F6250"/>
    <w:multiLevelType w:val="hybridMultilevel"/>
    <w:tmpl w:val="A484E936"/>
    <w:lvl w:ilvl="0" w:tplc="442C9B2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2B823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D2E6BA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B860C9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ED6D07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21A56C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AD453A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2FA0CE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454AD9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22026409"/>
    <w:multiLevelType w:val="hybridMultilevel"/>
    <w:tmpl w:val="AA74CE5C"/>
    <w:lvl w:ilvl="0" w:tplc="8BFA9E7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ABB0AE7"/>
    <w:multiLevelType w:val="hybridMultilevel"/>
    <w:tmpl w:val="47887E26"/>
    <w:lvl w:ilvl="0" w:tplc="5ADE518E">
      <w:start w:val="1"/>
      <w:numFmt w:val="decimal"/>
      <w:lvlText w:val="%1-"/>
      <w:lvlJc w:val="left"/>
      <w:pPr>
        <w:ind w:left="70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58493D81"/>
    <w:multiLevelType w:val="hybridMultilevel"/>
    <w:tmpl w:val="B9A6B91E"/>
    <w:lvl w:ilvl="0" w:tplc="4B52E4C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386077648">
    <w:abstractNumId w:val="2"/>
  </w:num>
  <w:num w:numId="2" w16cid:durableId="1256398491">
    <w:abstractNumId w:val="6"/>
  </w:num>
  <w:num w:numId="3" w16cid:durableId="1134953344">
    <w:abstractNumId w:val="1"/>
  </w:num>
  <w:num w:numId="4" w16cid:durableId="592007651">
    <w:abstractNumId w:val="4"/>
  </w:num>
  <w:num w:numId="5" w16cid:durableId="415368631">
    <w:abstractNumId w:val="5"/>
  </w:num>
  <w:num w:numId="6" w16cid:durableId="1983658478">
    <w:abstractNumId w:val="3"/>
  </w:num>
  <w:num w:numId="7" w16cid:durableId="203025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E0"/>
    <w:rsid w:val="00020C36"/>
    <w:rsid w:val="000C29A3"/>
    <w:rsid w:val="000D7C55"/>
    <w:rsid w:val="000E0C4A"/>
    <w:rsid w:val="001B527D"/>
    <w:rsid w:val="001D734F"/>
    <w:rsid w:val="00221F7E"/>
    <w:rsid w:val="00233EE0"/>
    <w:rsid w:val="00270F87"/>
    <w:rsid w:val="00294E9A"/>
    <w:rsid w:val="002C11CE"/>
    <w:rsid w:val="0035208B"/>
    <w:rsid w:val="00360434"/>
    <w:rsid w:val="003604A4"/>
    <w:rsid w:val="003F09DE"/>
    <w:rsid w:val="00421314"/>
    <w:rsid w:val="00455625"/>
    <w:rsid w:val="004D0031"/>
    <w:rsid w:val="004D4723"/>
    <w:rsid w:val="00511D35"/>
    <w:rsid w:val="005468F2"/>
    <w:rsid w:val="005B2AFD"/>
    <w:rsid w:val="00647502"/>
    <w:rsid w:val="00650139"/>
    <w:rsid w:val="00672896"/>
    <w:rsid w:val="00682F80"/>
    <w:rsid w:val="006C3FE4"/>
    <w:rsid w:val="00764F37"/>
    <w:rsid w:val="0082691A"/>
    <w:rsid w:val="00830E7C"/>
    <w:rsid w:val="0084078F"/>
    <w:rsid w:val="00874DE4"/>
    <w:rsid w:val="00890B43"/>
    <w:rsid w:val="008B005A"/>
    <w:rsid w:val="008E49F0"/>
    <w:rsid w:val="008E708A"/>
    <w:rsid w:val="0094529C"/>
    <w:rsid w:val="009D394B"/>
    <w:rsid w:val="009F326F"/>
    <w:rsid w:val="00A87634"/>
    <w:rsid w:val="00AD183B"/>
    <w:rsid w:val="00AE3C3B"/>
    <w:rsid w:val="00B10218"/>
    <w:rsid w:val="00B35F9C"/>
    <w:rsid w:val="00B75ADF"/>
    <w:rsid w:val="00C5152A"/>
    <w:rsid w:val="00C6304F"/>
    <w:rsid w:val="00C649EF"/>
    <w:rsid w:val="00C96775"/>
    <w:rsid w:val="00CE0579"/>
    <w:rsid w:val="00D03C09"/>
    <w:rsid w:val="00D232E9"/>
    <w:rsid w:val="00E07595"/>
    <w:rsid w:val="00E33047"/>
    <w:rsid w:val="00E46BC7"/>
    <w:rsid w:val="00E46EAE"/>
    <w:rsid w:val="00E97924"/>
    <w:rsid w:val="00EC1696"/>
    <w:rsid w:val="00F250C0"/>
    <w:rsid w:val="00F515B7"/>
    <w:rsid w:val="00FC59B2"/>
    <w:rsid w:val="00FC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6869"/>
  <w15:docId w15:val="{4DB3F4F1-30EA-4449-9BBB-10213D7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04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B35F9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customStyle="1" w:styleId="Heading20">
    <w:name w:val="Heading #2"/>
    <w:basedOn w:val="DefaultParagraphFont"/>
    <w:rsid w:val="00F515B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Bodytext">
    <w:name w:val="Body text_"/>
    <w:basedOn w:val="DefaultParagraphFont"/>
    <w:link w:val="BodyText2"/>
    <w:rsid w:val="00F515B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BodytextBold">
    <w:name w:val="Body text + Bold"/>
    <w:basedOn w:val="Bodytext"/>
    <w:rsid w:val="00F515B7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PicturecaptionExact">
    <w:name w:val="Picture caption Exact"/>
    <w:basedOn w:val="DefaultParagraphFont"/>
    <w:rsid w:val="00F515B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"/>
      <w:sz w:val="14"/>
      <w:szCs w:val="14"/>
      <w:u w:val="none"/>
    </w:rPr>
  </w:style>
  <w:style w:type="paragraph" w:customStyle="1" w:styleId="BodyText2">
    <w:name w:val="Body Text2"/>
    <w:basedOn w:val="Normal"/>
    <w:link w:val="Bodytext"/>
    <w:rsid w:val="00F515B7"/>
    <w:pPr>
      <w:widowControl w:val="0"/>
      <w:shd w:val="clear" w:color="auto" w:fill="FFFFFF"/>
      <w:spacing w:before="60" w:line="238" w:lineRule="exact"/>
      <w:ind w:hanging="240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Heading30">
    <w:name w:val="Heading #3"/>
    <w:basedOn w:val="DefaultParagraphFont"/>
    <w:rsid w:val="00F515B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C649EF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C649EF"/>
    <w:pPr>
      <w:widowControl w:val="0"/>
      <w:shd w:val="clear" w:color="auto" w:fill="FFFFFF"/>
      <w:spacing w:line="198" w:lineRule="exact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styleId="ListParagraph">
    <w:name w:val="List Paragraph"/>
    <w:basedOn w:val="Normal"/>
    <w:uiPriority w:val="34"/>
    <w:qFormat/>
    <w:rsid w:val="00C649EF"/>
    <w:pPr>
      <w:widowControl w:val="0"/>
      <w:spacing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C6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F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F80"/>
  </w:style>
  <w:style w:type="paragraph" w:styleId="Footer">
    <w:name w:val="footer"/>
    <w:basedOn w:val="Normal"/>
    <w:link w:val="FooterChar"/>
    <w:uiPriority w:val="99"/>
    <w:unhideWhenUsed/>
    <w:rsid w:val="00682F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6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7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1581">
          <w:marLeft w:val="360"/>
          <w:marRight w:val="0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13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54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436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17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17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01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30</cp:revision>
  <dcterms:created xsi:type="dcterms:W3CDTF">2024-09-20T13:10:00Z</dcterms:created>
  <dcterms:modified xsi:type="dcterms:W3CDTF">2024-11-28T11:35:00Z</dcterms:modified>
</cp:coreProperties>
</file>