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F9059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54188F0" w14:textId="77777777" w:rsidR="00233EE0" w:rsidRDefault="00000000">
      <w:pPr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7F465AC1" wp14:editId="49149C84">
            <wp:extent cx="2007189" cy="2149880"/>
            <wp:effectExtent l="0" t="0" r="0" b="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7189" cy="214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                   </w:t>
      </w: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36C55E47" wp14:editId="4CBE99F7">
            <wp:extent cx="2238375" cy="235267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F3A87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64E510A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42BBC42F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86214CB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pict w14:anchorId="47258035">
          <v:rect id="_x0000_i1025" style="width:0;height:1.5pt" o:hralign="center" o:hrstd="t" o:hr="t" fillcolor="#a0a0a0" stroked="f"/>
        </w:pict>
      </w:r>
    </w:p>
    <w:p w14:paraId="25C481CB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7EB41E9C" w14:textId="0C167CFB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Oral </w:t>
      </w:r>
      <w:r w:rsidR="00B35F9C">
        <w:rPr>
          <w:rFonts w:ascii="Playfair Display" w:eastAsia="Playfair Display" w:hAnsi="Playfair Display" w:cs="Playfair Display"/>
          <w:b/>
          <w:sz w:val="48"/>
          <w:szCs w:val="48"/>
        </w:rPr>
        <w:t>Pathology</w:t>
      </w: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 </w:t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</w:t>
      </w:r>
    </w:p>
    <w:p w14:paraId="5F074D04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6228685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pict w14:anchorId="04B4452D">
          <v:rect id="_x0000_i1026" style="width:0;height:1.5pt" o:hralign="center" o:hrstd="t" o:hr="t" fillcolor="#a0a0a0" stroked="f"/>
        </w:pict>
      </w:r>
    </w:p>
    <w:p w14:paraId="658F5DA7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4808B87E" w14:textId="77777777" w:rsidR="00233EE0" w:rsidRDefault="00000000">
      <w:pPr>
        <w:jc w:val="center"/>
        <w:rPr>
          <w:rFonts w:ascii="Montserrat" w:eastAsia="Montserrat" w:hAnsi="Montserrat" w:cs="Montserrat"/>
          <w:sz w:val="36"/>
          <w:szCs w:val="36"/>
        </w:rPr>
      </w:pPr>
      <w:r>
        <w:rPr>
          <w:rFonts w:ascii="Montserrat" w:eastAsia="Montserrat" w:hAnsi="Montserrat" w:cs="Montserrat"/>
          <w:sz w:val="36"/>
          <w:szCs w:val="36"/>
        </w:rPr>
        <w:t>Prof. Dr.Muna Merza</w:t>
      </w:r>
    </w:p>
    <w:p w14:paraId="119A9809" w14:textId="77777777" w:rsidR="00233EE0" w:rsidRDefault="00233EE0">
      <w:pPr>
        <w:jc w:val="center"/>
        <w:rPr>
          <w:rFonts w:ascii="Montserrat" w:eastAsia="Montserrat" w:hAnsi="Montserrat" w:cs="Montserrat"/>
          <w:sz w:val="36"/>
          <w:szCs w:val="36"/>
        </w:rPr>
      </w:pPr>
    </w:p>
    <w:p w14:paraId="2D45FA85" w14:textId="3B5D34D0" w:rsidR="00AE3C3B" w:rsidRDefault="00AE3C3B" w:rsidP="00AE3C3B">
      <w:pPr>
        <w:pStyle w:val="Default"/>
        <w:rPr>
          <w:rFonts w:asciiTheme="majorBidi" w:hAnsiTheme="majorBidi" w:cstheme="majorBidi"/>
          <w:b/>
          <w:bCs/>
          <w:sz w:val="48"/>
          <w:szCs w:val="48"/>
        </w:rPr>
      </w:pPr>
      <w:r w:rsidRPr="00AE3C3B">
        <w:rPr>
          <w:rFonts w:asciiTheme="majorBidi" w:eastAsia="Playfair Display" w:hAnsiTheme="majorBidi" w:cstheme="majorBidi"/>
          <w:b/>
          <w:bCs/>
          <w:sz w:val="48"/>
          <w:szCs w:val="48"/>
        </w:rPr>
        <w:t xml:space="preserve">                      Lecture </w:t>
      </w:r>
      <w:r w:rsidR="004D0031">
        <w:rPr>
          <w:rFonts w:asciiTheme="majorBidi" w:eastAsia="Playfair Display" w:hAnsiTheme="majorBidi" w:cstheme="majorBidi"/>
          <w:b/>
          <w:bCs/>
          <w:sz w:val="48"/>
          <w:szCs w:val="48"/>
        </w:rPr>
        <w:t>5</w:t>
      </w:r>
      <w:r w:rsidRPr="00AE3C3B">
        <w:rPr>
          <w:rFonts w:asciiTheme="majorBidi" w:hAnsiTheme="majorBidi" w:cstheme="majorBidi"/>
          <w:b/>
          <w:bCs/>
          <w:sz w:val="48"/>
          <w:szCs w:val="48"/>
        </w:rPr>
        <w:t xml:space="preserve"> </w:t>
      </w:r>
      <w:r>
        <w:rPr>
          <w:rFonts w:asciiTheme="majorBidi" w:hAnsiTheme="majorBidi" w:cstheme="majorBidi"/>
          <w:b/>
          <w:bCs/>
          <w:sz w:val="48"/>
          <w:szCs w:val="48"/>
        </w:rPr>
        <w:t xml:space="preserve">  </w:t>
      </w:r>
      <w:r w:rsidRPr="00AE3C3B">
        <w:rPr>
          <w:rFonts w:asciiTheme="majorBidi" w:hAnsiTheme="majorBidi" w:cstheme="majorBidi"/>
          <w:b/>
          <w:bCs/>
          <w:sz w:val="48"/>
          <w:szCs w:val="48"/>
        </w:rPr>
        <w:t xml:space="preserve">Pulp disease </w:t>
      </w:r>
    </w:p>
    <w:p w14:paraId="3C07D378" w14:textId="349B9F83" w:rsidR="004D0031" w:rsidRPr="00AE3C3B" w:rsidRDefault="004D0031" w:rsidP="004D0031">
      <w:pPr>
        <w:pStyle w:val="Default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>
        <w:rPr>
          <w:rFonts w:asciiTheme="majorBidi" w:hAnsiTheme="majorBidi" w:cstheme="majorBidi"/>
          <w:b/>
          <w:bCs/>
          <w:sz w:val="48"/>
          <w:szCs w:val="48"/>
        </w:rPr>
        <w:t>( Dental Granuloma)</w:t>
      </w:r>
    </w:p>
    <w:p w14:paraId="72C75813" w14:textId="70A892CF" w:rsidR="00233EE0" w:rsidRDefault="00233EE0">
      <w:pPr>
        <w:jc w:val="center"/>
        <w:rPr>
          <w:rFonts w:ascii="Montserrat" w:eastAsia="Montserrat" w:hAnsi="Montserrat" w:cs="Montserrat"/>
          <w:sz w:val="36"/>
          <w:szCs w:val="36"/>
        </w:rPr>
      </w:pPr>
    </w:p>
    <w:p w14:paraId="648AC3B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A8241A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21C9FA5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0F2554D6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26344BB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F4896C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5ECAABA9" w14:textId="106211BA" w:rsidR="00B35F9C" w:rsidRPr="00B85797" w:rsidRDefault="00B35F9C" w:rsidP="00B35F9C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 xml:space="preserve">c. </w:t>
      </w:r>
      <w:r w:rsidR="004D0031"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B85797">
        <w:rPr>
          <w:rFonts w:asciiTheme="majorBidi" w:hAnsiTheme="majorBidi" w:cstheme="majorBidi"/>
          <w:b/>
          <w:bCs/>
          <w:sz w:val="36"/>
          <w:szCs w:val="36"/>
        </w:rPr>
        <w:t xml:space="preserve">              ORAL PATHOLOGY                 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>Dr. Muna</w:t>
      </w:r>
    </w:p>
    <w:p w14:paraId="031E5528" w14:textId="78FA6DB0" w:rsidR="004D0031" w:rsidRDefault="004D0031" w:rsidP="004D0031">
      <w:pPr>
        <w:widowControl w:val="0"/>
        <w:spacing w:line="240" w:lineRule="auto"/>
        <w:ind w:left="3602" w:right="-20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32"/>
          <w:szCs w:val="32"/>
        </w:rPr>
        <w:t xml:space="preserve"> </w:t>
      </w:r>
    </w:p>
    <w:p w14:paraId="3DB5969B" w14:textId="77777777" w:rsidR="004D0031" w:rsidRDefault="004D0031" w:rsidP="004D003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6050FE" w14:textId="4CA022EE" w:rsidR="00AE3C3B" w:rsidRPr="005B2AFD" w:rsidRDefault="004D0031" w:rsidP="005B2AFD">
      <w:pPr>
        <w:pStyle w:val="Default"/>
        <w:rPr>
          <w:rFonts w:asciiTheme="majorBidi" w:hAnsiTheme="majorBidi" w:cstheme="majorBidi"/>
          <w:b/>
          <w:bCs/>
          <w:sz w:val="32"/>
          <w:szCs w:val="32"/>
        </w:rPr>
      </w:pPr>
      <w:r w:rsidRPr="004D0031">
        <w:rPr>
          <w:rFonts w:asciiTheme="majorBidi" w:hAnsiTheme="majorBidi" w:cstheme="majorBidi"/>
          <w:b/>
          <w:bCs/>
          <w:sz w:val="32"/>
          <w:szCs w:val="32"/>
        </w:rPr>
        <w:t>Pulp disease ( Dental Granuloma)</w:t>
      </w:r>
    </w:p>
    <w:p w14:paraId="56E4E844" w14:textId="191018E9" w:rsidR="00AE3C3B" w:rsidRPr="00360434" w:rsidRDefault="00AE3C3B" w:rsidP="00AE3C3B">
      <w:pPr>
        <w:pStyle w:val="Default"/>
        <w:rPr>
          <w:b/>
          <w:bCs/>
          <w:i/>
          <w:iCs/>
          <w:color w:val="FF0000"/>
          <w:sz w:val="32"/>
          <w:szCs w:val="32"/>
          <w:u w:val="single"/>
        </w:rPr>
      </w:pPr>
      <w:r w:rsidRPr="00360434">
        <w:rPr>
          <w:b/>
          <w:bCs/>
          <w:i/>
          <w:iCs/>
          <w:color w:val="FF0000"/>
          <w:sz w:val="32"/>
          <w:szCs w:val="32"/>
          <w:u w:val="single"/>
        </w:rPr>
        <w:t xml:space="preserve">Periapical-periodontitis </w:t>
      </w:r>
    </w:p>
    <w:p w14:paraId="6E151E23" w14:textId="77777777" w:rsidR="00AE3C3B" w:rsidRDefault="00AE3C3B" w:rsidP="00AE3C3B">
      <w:pPr>
        <w:pStyle w:val="Default"/>
        <w:rPr>
          <w:sz w:val="28"/>
          <w:szCs w:val="28"/>
        </w:rPr>
      </w:pPr>
      <w:r w:rsidRPr="00AE3C3B">
        <w:rPr>
          <w:b/>
          <w:bCs/>
          <w:i/>
          <w:iCs/>
          <w:sz w:val="28"/>
          <w:szCs w:val="28"/>
        </w:rPr>
        <w:t>Periapical- periodontiti</w:t>
      </w:r>
      <w:r w:rsidRPr="00AE3C3B">
        <w:rPr>
          <w:sz w:val="28"/>
          <w:szCs w:val="28"/>
        </w:rPr>
        <w:t>s is usually due to spread of infection following death the pulp.</w:t>
      </w:r>
    </w:p>
    <w:p w14:paraId="0B9FD5A4" w14:textId="77777777" w:rsidR="00AE3C3B" w:rsidRDefault="00AE3C3B" w:rsidP="00AE3C3B">
      <w:pPr>
        <w:pStyle w:val="Default"/>
        <w:rPr>
          <w:sz w:val="28"/>
          <w:szCs w:val="28"/>
        </w:rPr>
      </w:pPr>
    </w:p>
    <w:p w14:paraId="26AF5E28" w14:textId="3B3216C2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Causes: </w:t>
      </w:r>
    </w:p>
    <w:p w14:paraId="60B2C810" w14:textId="77777777" w:rsidR="009F326F" w:rsidRDefault="00AE3C3B" w:rsidP="00AE3C3B">
      <w:pPr>
        <w:pStyle w:val="Default"/>
        <w:rPr>
          <w:sz w:val="28"/>
          <w:szCs w:val="28"/>
        </w:rPr>
      </w:pPr>
      <w:r w:rsidRPr="00AE3C3B">
        <w:rPr>
          <w:b/>
          <w:bCs/>
          <w:sz w:val="28"/>
          <w:szCs w:val="28"/>
        </w:rPr>
        <w:t>1)infection</w:t>
      </w:r>
      <w:r w:rsidRPr="00AE3C3B">
        <w:rPr>
          <w:sz w:val="28"/>
          <w:szCs w:val="28"/>
        </w:rPr>
        <w:t xml:space="preserve">: </w:t>
      </w:r>
    </w:p>
    <w:p w14:paraId="61462545" w14:textId="77777777" w:rsidR="00F515B7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A- spread from chronic infection of gingival margins </w:t>
      </w:r>
    </w:p>
    <w:p w14:paraId="30BBFC20" w14:textId="66C6520A" w:rsid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B-sequence of caries ,pulpits ,death of pulp and periodontitis . </w:t>
      </w:r>
    </w:p>
    <w:p w14:paraId="04D0054C" w14:textId="77777777" w:rsidR="00F515B7" w:rsidRPr="00AE3C3B" w:rsidRDefault="00F515B7" w:rsidP="00AE3C3B">
      <w:pPr>
        <w:pStyle w:val="Default"/>
        <w:rPr>
          <w:sz w:val="28"/>
          <w:szCs w:val="28"/>
        </w:rPr>
      </w:pPr>
    </w:p>
    <w:p w14:paraId="36C41810" w14:textId="77777777" w:rsidR="00AE3C3B" w:rsidRDefault="00AE3C3B" w:rsidP="00AE3C3B">
      <w:pPr>
        <w:pStyle w:val="Default"/>
        <w:rPr>
          <w:sz w:val="28"/>
          <w:szCs w:val="28"/>
        </w:rPr>
      </w:pPr>
      <w:r w:rsidRPr="00AE3C3B">
        <w:rPr>
          <w:b/>
          <w:bCs/>
          <w:sz w:val="28"/>
          <w:szCs w:val="28"/>
        </w:rPr>
        <w:t>2)trauma</w:t>
      </w:r>
      <w:r w:rsidRPr="00AE3C3B">
        <w:rPr>
          <w:sz w:val="28"/>
          <w:szCs w:val="28"/>
        </w:rPr>
        <w:t xml:space="preserve">: A-blow causing damage of the apical vessels B- High filling or biting suddenly on hard object </w:t>
      </w:r>
    </w:p>
    <w:p w14:paraId="07E13BF8" w14:textId="77777777" w:rsidR="00F515B7" w:rsidRPr="00AE3C3B" w:rsidRDefault="00F515B7" w:rsidP="00AE3C3B">
      <w:pPr>
        <w:pStyle w:val="Default"/>
        <w:rPr>
          <w:sz w:val="28"/>
          <w:szCs w:val="28"/>
        </w:rPr>
      </w:pPr>
    </w:p>
    <w:p w14:paraId="1BDBFFBF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b/>
          <w:bCs/>
          <w:sz w:val="28"/>
          <w:szCs w:val="28"/>
        </w:rPr>
        <w:t xml:space="preserve">3) chemical irritant : </w:t>
      </w:r>
    </w:p>
    <w:p w14:paraId="61EF055F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b/>
          <w:bCs/>
          <w:sz w:val="28"/>
          <w:szCs w:val="28"/>
        </w:rPr>
        <w:t xml:space="preserve">A- irritant antiseptics used to sterilize root </w:t>
      </w:r>
    </w:p>
    <w:p w14:paraId="29ADF630" w14:textId="77777777" w:rsidR="00AE3C3B" w:rsidRPr="00AE3C3B" w:rsidRDefault="00AE3C3B" w:rsidP="00AE3C3B">
      <w:pPr>
        <w:pStyle w:val="Default"/>
        <w:rPr>
          <w:sz w:val="28"/>
          <w:szCs w:val="28"/>
        </w:rPr>
      </w:pPr>
      <w:r w:rsidRPr="00AE3C3B">
        <w:rPr>
          <w:sz w:val="28"/>
          <w:szCs w:val="28"/>
        </w:rPr>
        <w:t xml:space="preserve">canal (escape through the apex ) </w:t>
      </w:r>
    </w:p>
    <w:p w14:paraId="4184FAE0" w14:textId="70D739A0" w:rsidR="00AE3C3B" w:rsidRDefault="00AE3C3B" w:rsidP="005B2AFD">
      <w:pPr>
        <w:pStyle w:val="Default"/>
        <w:rPr>
          <w:sz w:val="28"/>
          <w:szCs w:val="28"/>
        </w:rPr>
      </w:pPr>
      <w:r w:rsidRPr="00AE3C3B">
        <w:rPr>
          <w:b/>
          <w:bCs/>
          <w:sz w:val="28"/>
          <w:szCs w:val="28"/>
        </w:rPr>
        <w:t>B-</w:t>
      </w:r>
      <w:r w:rsidRPr="00AE3C3B">
        <w:rPr>
          <w:sz w:val="28"/>
          <w:szCs w:val="28"/>
        </w:rPr>
        <w:t xml:space="preserve">root canal instrument or filling may also extend beyond the apex causing damage to periodontal tissue </w:t>
      </w:r>
    </w:p>
    <w:p w14:paraId="69C40579" w14:textId="77777777" w:rsidR="00360434" w:rsidRPr="00AE3C3B" w:rsidRDefault="00360434" w:rsidP="00AE3C3B">
      <w:pPr>
        <w:pStyle w:val="Default"/>
        <w:rPr>
          <w:sz w:val="28"/>
          <w:szCs w:val="28"/>
        </w:rPr>
      </w:pPr>
    </w:p>
    <w:p w14:paraId="2F0DA71B" w14:textId="77777777" w:rsidR="005B2AFD" w:rsidRPr="00CF7A0D" w:rsidRDefault="005B2AFD" w:rsidP="005B2AFD">
      <w:pPr>
        <w:spacing w:line="216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Hlk180693830"/>
      <w:r w:rsidRPr="00CF7A0D">
        <w:rPr>
          <w:rFonts w:ascii="Times New Roman" w:eastAsiaTheme="minorEastAsia" w:hAnsi="Times New Roman"/>
          <w:b/>
          <w:bCs/>
          <w:kern w:val="24"/>
          <w:sz w:val="32"/>
          <w:szCs w:val="32"/>
        </w:rPr>
        <w:t>There are 3 common lesions that may follow pulpitis namely</w:t>
      </w:r>
    </w:p>
    <w:p w14:paraId="39D095D2" w14:textId="77777777" w:rsidR="005B2AFD" w:rsidRPr="00CF7A0D" w:rsidRDefault="005B2AFD" w:rsidP="005B2AFD">
      <w:pPr>
        <w:spacing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/>
          <w:b/>
          <w:bCs/>
          <w:kern w:val="24"/>
          <w:sz w:val="28"/>
          <w:szCs w:val="28"/>
        </w:rPr>
        <w:t xml:space="preserve">   </w:t>
      </w:r>
      <w:r w:rsidRPr="00CF7A0D">
        <w:rPr>
          <w:rFonts w:ascii="Times New Roman" w:eastAsiaTheme="minorEastAsia" w:hAnsi="Times New Roman"/>
          <w:kern w:val="24"/>
          <w:sz w:val="28"/>
          <w:szCs w:val="28"/>
        </w:rPr>
        <w:t>1-Periapical granuloma (p.a.g.)</w:t>
      </w:r>
    </w:p>
    <w:p w14:paraId="1210590E" w14:textId="77777777" w:rsidR="005B2AFD" w:rsidRPr="00CF7A0D" w:rsidRDefault="005B2AFD" w:rsidP="005B2AFD">
      <w:pPr>
        <w:spacing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A0D">
        <w:rPr>
          <w:rFonts w:ascii="Times New Roman" w:eastAsiaTheme="minorEastAsia" w:hAnsi="Times New Roman"/>
          <w:kern w:val="24"/>
          <w:sz w:val="28"/>
          <w:szCs w:val="28"/>
        </w:rPr>
        <w:t xml:space="preserve">   2-Periapical cyst (p.a.c).</w:t>
      </w:r>
    </w:p>
    <w:p w14:paraId="183537AB" w14:textId="77777777" w:rsidR="005B2AFD" w:rsidRPr="00CF7A0D" w:rsidRDefault="005B2AFD" w:rsidP="005B2AFD">
      <w:pPr>
        <w:spacing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A0D">
        <w:rPr>
          <w:rFonts w:ascii="Times New Roman" w:eastAsiaTheme="minorEastAsia" w:hAnsi="Times New Roman"/>
          <w:kern w:val="24"/>
          <w:sz w:val="28"/>
          <w:szCs w:val="28"/>
        </w:rPr>
        <w:t xml:space="preserve">   3-Periapical abscess (p.a.a.)</w:t>
      </w:r>
    </w:p>
    <w:bookmarkEnd w:id="0"/>
    <w:p w14:paraId="1474D5DD" w14:textId="46597BEC" w:rsidR="00AE3C3B" w:rsidRPr="00AE3C3B" w:rsidRDefault="005B2AFD" w:rsidP="00AE3C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2097272" w14:textId="77777777" w:rsidR="00F515B7" w:rsidRPr="00F515B7" w:rsidRDefault="005B2AFD" w:rsidP="00F515B7">
      <w:pPr>
        <w:autoSpaceDE w:val="0"/>
        <w:autoSpaceDN w:val="0"/>
        <w:adjustRightInd w:val="0"/>
        <w:jc w:val="both"/>
        <w:rPr>
          <w:rStyle w:val="Heading20"/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b/>
          <w:bCs/>
          <w:i/>
          <w:iCs/>
          <w:color w:val="FF0000"/>
          <w:sz w:val="32"/>
          <w:szCs w:val="32"/>
          <w:u w:val="single"/>
        </w:rPr>
        <w:t xml:space="preserve"> </w:t>
      </w:r>
      <w:r w:rsidR="00F515B7" w:rsidRPr="00F515B7">
        <w:rPr>
          <w:rStyle w:val="Heading20"/>
          <w:rFonts w:ascii="Times New Roman" w:hAnsi="Times New Roman" w:cs="Times New Roman"/>
          <w:b/>
          <w:bCs/>
          <w:color w:val="C00000"/>
          <w:sz w:val="32"/>
          <w:szCs w:val="32"/>
        </w:rPr>
        <w:t>PERIAPICAL GRANULOMA (CHRONIC APICAL PERIODONTITIS)</w:t>
      </w:r>
    </w:p>
    <w:p w14:paraId="2F784A0B" w14:textId="65912456" w:rsidR="00F515B7" w:rsidRDefault="00F515B7" w:rsidP="00F5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E0A61A" w14:textId="194EC9B6" w:rsidR="00F515B7" w:rsidRDefault="00F515B7" w:rsidP="00F515B7">
      <w:pPr>
        <w:pStyle w:val="BodyText2"/>
        <w:shd w:val="clear" w:color="auto" w:fill="auto"/>
        <w:spacing w:before="0" w:line="240" w:lineRule="auto"/>
        <w:ind w:left="90" w:right="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Pr="00132F0E">
        <w:rPr>
          <w:rFonts w:ascii="Times New Roman" w:hAnsi="Times New Roman" w:cs="Times New Roman"/>
          <w:sz w:val="28"/>
          <w:szCs w:val="28"/>
        </w:rPr>
        <w:t xml:space="preserve">The term </w:t>
      </w:r>
      <w:r w:rsidRPr="00132F0E">
        <w:rPr>
          <w:rStyle w:val="BodytextBold"/>
          <w:rFonts w:ascii="Times New Roman" w:hAnsi="Times New Roman" w:cs="Times New Roman"/>
          <w:sz w:val="28"/>
          <w:szCs w:val="28"/>
        </w:rPr>
        <w:t xml:space="preserve">periapical granuloma </w:t>
      </w:r>
      <w:r w:rsidRPr="00132F0E">
        <w:rPr>
          <w:rFonts w:ascii="Times New Roman" w:hAnsi="Times New Roman" w:cs="Times New Roman"/>
          <w:sz w:val="28"/>
          <w:szCs w:val="28"/>
        </w:rPr>
        <w:t xml:space="preserve">refers to a mass of chronically inflamed granulation tissue at the apex of a nonvital tooth. </w:t>
      </w:r>
      <w:r w:rsidR="00B75A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5128B5" w14:textId="77777777" w:rsidR="00F515B7" w:rsidRDefault="00F515B7" w:rsidP="00F515B7">
      <w:pPr>
        <w:keepNext/>
        <w:keepLines/>
        <w:ind w:left="20" w:right="820"/>
        <w:jc w:val="both"/>
        <w:rPr>
          <w:sz w:val="2"/>
          <w:szCs w:val="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32F0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C938BDB" w14:textId="77777777" w:rsidR="00F515B7" w:rsidRPr="00F515B7" w:rsidRDefault="00F515B7" w:rsidP="00F515B7">
      <w:pPr>
        <w:pStyle w:val="BodyText2"/>
        <w:shd w:val="clear" w:color="auto" w:fill="auto"/>
        <w:spacing w:before="0" w:line="240" w:lineRule="auto"/>
        <w:ind w:left="20" w:right="20" w:firstLine="0"/>
        <w:jc w:val="both"/>
        <w:rPr>
          <w:rStyle w:val="Heading30"/>
          <w:rFonts w:ascii="Times New Roman" w:hAnsi="Times New Roman" w:cs="Times New Roman"/>
          <w:b/>
          <w:bCs/>
          <w:color w:val="C00000"/>
          <w:sz w:val="32"/>
          <w:szCs w:val="32"/>
        </w:rPr>
      </w:pPr>
      <w:bookmarkStart w:id="1" w:name="bookmark14"/>
      <w:r w:rsidRPr="00F515B7">
        <w:rPr>
          <w:rStyle w:val="Heading30"/>
          <w:rFonts w:ascii="Times New Roman" w:hAnsi="Times New Roman" w:cs="Times New Roman"/>
          <w:b/>
          <w:bCs/>
          <w:color w:val="C00000"/>
          <w:sz w:val="32"/>
          <w:szCs w:val="32"/>
        </w:rPr>
        <w:t>Clinical and Radiographic Features</w:t>
      </w:r>
      <w:bookmarkEnd w:id="1"/>
    </w:p>
    <w:p w14:paraId="7369442C" w14:textId="77777777" w:rsidR="00F515B7" w:rsidRPr="00F515B7" w:rsidRDefault="00F515B7" w:rsidP="00F515B7">
      <w:pPr>
        <w:keepNext/>
        <w:keepLines/>
        <w:spacing w:after="38"/>
        <w:ind w:left="40"/>
        <w:jc w:val="both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F515B7">
        <w:rPr>
          <w:rStyle w:val="Heading30"/>
          <w:rFonts w:ascii="Times New Roman" w:hAnsi="Times New Roman" w:cs="Times New Roman"/>
          <w:b/>
          <w:bCs/>
          <w:color w:val="C00000"/>
          <w:sz w:val="32"/>
          <w:szCs w:val="32"/>
        </w:rPr>
        <w:t>Clinical Features</w:t>
      </w:r>
    </w:p>
    <w:p w14:paraId="28693051" w14:textId="77777777" w:rsidR="00F515B7" w:rsidRDefault="00F515B7" w:rsidP="00F515B7">
      <w:pPr>
        <w:pStyle w:val="BodyText2"/>
        <w:numPr>
          <w:ilvl w:val="0"/>
          <w:numId w:val="1"/>
        </w:numPr>
        <w:shd w:val="clear" w:color="auto" w:fill="auto"/>
        <w:spacing w:before="0" w:line="276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020DB0">
        <w:rPr>
          <w:rFonts w:ascii="Times New Roman" w:hAnsi="Times New Roman" w:cs="Times New Roman"/>
          <w:sz w:val="28"/>
          <w:szCs w:val="28"/>
        </w:rPr>
        <w:t>Most periapical granulomas are asymptomatic</w:t>
      </w:r>
    </w:p>
    <w:p w14:paraId="666F4F4B" w14:textId="77777777" w:rsidR="00F515B7" w:rsidRDefault="00F515B7" w:rsidP="00F515B7">
      <w:pPr>
        <w:pStyle w:val="BodyText2"/>
        <w:numPr>
          <w:ilvl w:val="0"/>
          <w:numId w:val="1"/>
        </w:numPr>
        <w:shd w:val="clear" w:color="auto" w:fill="auto"/>
        <w:spacing w:before="0" w:line="276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020DB0">
        <w:rPr>
          <w:rFonts w:ascii="Times New Roman" w:hAnsi="Times New Roman" w:cs="Times New Roman"/>
          <w:sz w:val="28"/>
          <w:szCs w:val="28"/>
        </w:rPr>
        <w:t>Pain and sensitivity can develop if acute</w:t>
      </w:r>
      <w:r w:rsidRPr="0022198F">
        <w:rPr>
          <w:rFonts w:ascii="Times New Roman" w:hAnsi="Times New Roman" w:cs="Times New Roman"/>
          <w:sz w:val="28"/>
          <w:szCs w:val="28"/>
        </w:rPr>
        <w:t xml:space="preserve"> </w:t>
      </w:r>
      <w:r w:rsidRPr="00020DB0">
        <w:rPr>
          <w:rFonts w:ascii="Times New Roman" w:hAnsi="Times New Roman" w:cs="Times New Roman"/>
          <w:sz w:val="28"/>
          <w:szCs w:val="28"/>
        </w:rPr>
        <w:t>exacerbation occurs</w:t>
      </w:r>
    </w:p>
    <w:p w14:paraId="5741CF1B" w14:textId="77777777" w:rsidR="00F515B7" w:rsidRDefault="00F515B7" w:rsidP="00F515B7">
      <w:pPr>
        <w:pStyle w:val="BodyText2"/>
        <w:numPr>
          <w:ilvl w:val="0"/>
          <w:numId w:val="1"/>
        </w:numPr>
        <w:shd w:val="clear" w:color="auto" w:fill="auto"/>
        <w:spacing w:before="0" w:line="276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020DB0">
        <w:rPr>
          <w:rFonts w:ascii="Times New Roman" w:hAnsi="Times New Roman" w:cs="Times New Roman"/>
          <w:sz w:val="28"/>
          <w:szCs w:val="28"/>
        </w:rPr>
        <w:t xml:space="preserve"> The involved tooth does not demonstrate mobility or significant sensitivity </w:t>
      </w:r>
      <w:r w:rsidRPr="00020DB0">
        <w:rPr>
          <w:rFonts w:ascii="Times New Roman" w:hAnsi="Times New Roman" w:cs="Times New Roman"/>
          <w:sz w:val="28"/>
          <w:szCs w:val="28"/>
        </w:rPr>
        <w:lastRenderedPageBreak/>
        <w:t xml:space="preserve">to percussion. </w:t>
      </w:r>
    </w:p>
    <w:p w14:paraId="12B31701" w14:textId="77777777" w:rsidR="00F515B7" w:rsidRDefault="00F515B7" w:rsidP="00F515B7">
      <w:pPr>
        <w:pStyle w:val="BodyText2"/>
        <w:shd w:val="clear" w:color="auto" w:fill="auto"/>
        <w:spacing w:before="0" w:line="276" w:lineRule="auto"/>
        <w:ind w:left="90" w:right="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</w:t>
      </w:r>
      <w:r w:rsidRPr="00020DB0">
        <w:rPr>
          <w:rFonts w:ascii="Times New Roman" w:hAnsi="Times New Roman" w:cs="Times New Roman"/>
          <w:sz w:val="28"/>
          <w:szCs w:val="28"/>
        </w:rPr>
        <w:t xml:space="preserve">The soft tissue overlying the apex may or may not be tender. </w:t>
      </w:r>
    </w:p>
    <w:p w14:paraId="7B862CD2" w14:textId="69E5479C" w:rsidR="00F515B7" w:rsidRPr="001E6F99" w:rsidRDefault="00F515B7" w:rsidP="00F515B7">
      <w:pPr>
        <w:pStyle w:val="BodyText2"/>
        <w:shd w:val="clear" w:color="auto" w:fill="auto"/>
        <w:spacing w:before="0" w:line="276" w:lineRule="auto"/>
        <w:ind w:left="90" w:right="60" w:firstLine="0"/>
        <w:jc w:val="both"/>
        <w:rPr>
          <w:rFonts w:ascii="Times New Roman" w:eastAsia="Constantia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5-</w:t>
      </w:r>
      <w:r w:rsidRPr="00020DB0">
        <w:rPr>
          <w:rFonts w:ascii="Times New Roman" w:hAnsi="Times New Roman" w:cs="Times New Roman"/>
          <w:sz w:val="28"/>
          <w:szCs w:val="28"/>
        </w:rPr>
        <w:t>The</w:t>
      </w:r>
      <w:r w:rsidRPr="005271A7">
        <w:t xml:space="preserve"> </w:t>
      </w:r>
      <w:r w:rsidRPr="005271A7">
        <w:rPr>
          <w:rFonts w:ascii="Times New Roman" w:hAnsi="Times New Roman" w:cs="Times New Roman"/>
          <w:sz w:val="28"/>
          <w:szCs w:val="28"/>
        </w:rPr>
        <w:t xml:space="preserve">tooth does not respond to thermal or electric pulp tests </w:t>
      </w:r>
      <w:r w:rsidR="00B75A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94C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725B9D" w14:textId="77777777" w:rsidR="00F515B7" w:rsidRDefault="00F515B7" w:rsidP="00F51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</w:p>
    <w:p w14:paraId="6F318274" w14:textId="4F4907DC" w:rsidR="00F515B7" w:rsidRDefault="00F515B7" w:rsidP="00F515B7">
      <w:pPr>
        <w:pStyle w:val="BodyText2"/>
        <w:shd w:val="clear" w:color="auto" w:fill="auto"/>
        <w:spacing w:before="0" w:line="276" w:lineRule="auto"/>
        <w:ind w:left="90" w:right="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15B7">
        <w:rPr>
          <w:rStyle w:val="Heading30"/>
          <w:rFonts w:ascii="Times New Roman" w:hAnsi="Times New Roman" w:cs="Times New Roman"/>
          <w:b/>
          <w:bCs/>
          <w:color w:val="C00000"/>
          <w:sz w:val="32"/>
          <w:szCs w:val="32"/>
        </w:rPr>
        <w:t>Radiographic Features:</w:t>
      </w:r>
      <w:r w:rsidRPr="00D2318E">
        <w:rPr>
          <w:rFonts w:ascii="Times New Roman" w:hAnsi="Times New Roman" w:cs="Times New Roman"/>
          <w:sz w:val="28"/>
          <w:szCs w:val="28"/>
        </w:rPr>
        <w:t xml:space="preserve"> </w:t>
      </w:r>
      <w:r w:rsidRPr="00BD4A9E">
        <w:rPr>
          <w:rFonts w:ascii="Times New Roman" w:hAnsi="Times New Roman" w:cs="Times New Roman"/>
          <w:sz w:val="28"/>
          <w:szCs w:val="28"/>
        </w:rPr>
        <w:t xml:space="preserve">Most lesions are discovered on </w:t>
      </w:r>
      <w:r w:rsidRPr="00BD4A9E">
        <w:rPr>
          <w:rFonts w:ascii="Times New Roman" w:hAnsi="Times New Roman" w:cs="Times New Roman"/>
          <w:b/>
          <w:bCs/>
          <w:sz w:val="28"/>
          <w:szCs w:val="28"/>
        </w:rPr>
        <w:t>routine radiographic</w:t>
      </w:r>
      <w:r w:rsidRPr="00BD4A9E">
        <w:rPr>
          <w:rFonts w:ascii="Times New Roman" w:hAnsi="Times New Roman" w:cs="Times New Roman"/>
          <w:sz w:val="28"/>
          <w:szCs w:val="28"/>
        </w:rPr>
        <w:t xml:space="preserve"> </w:t>
      </w:r>
      <w:r w:rsidRPr="00BD4A9E">
        <w:rPr>
          <w:rFonts w:ascii="Times New Roman" w:hAnsi="Times New Roman" w:cs="Times New Roman"/>
          <w:b/>
          <w:bCs/>
          <w:sz w:val="28"/>
          <w:szCs w:val="28"/>
        </w:rPr>
        <w:t>examination</w:t>
      </w:r>
      <w:r w:rsidRPr="00DB6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55395DB4" wp14:editId="3C34C3D1">
                <wp:simplePos x="0" y="0"/>
                <wp:positionH relativeFrom="margin">
                  <wp:posOffset>3305810</wp:posOffset>
                </wp:positionH>
                <wp:positionV relativeFrom="margin">
                  <wp:posOffset>2750185</wp:posOffset>
                </wp:positionV>
                <wp:extent cx="2983230" cy="6985"/>
                <wp:effectExtent l="0" t="0" r="0" b="0"/>
                <wp:wrapSquare wrapText="bothSides"/>
                <wp:docPr id="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230" cy="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C93D7" w14:textId="77777777" w:rsidR="00F515B7" w:rsidRDefault="00F515B7" w:rsidP="00F515B7">
                            <w:pPr>
                              <w:jc w:val="center"/>
                              <w:rPr>
                                <w:sz w:val="0"/>
                                <w:szCs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95D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3pt;margin-top:216.55pt;width:234.9pt;height:.5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" filled="f" stroked="f">
                <v:textbox style="mso-fit-shape-to-text:t" inset="0,0,0,0">
                  <w:txbxContent>
                    <w:p w14:paraId="14CC93D7" w14:textId="77777777" w:rsidR="00F515B7" w:rsidRDefault="00F515B7" w:rsidP="00F515B7">
                      <w:pPr>
                        <w:jc w:val="center"/>
                        <w:rPr>
                          <w:sz w:val="0"/>
                          <w:szCs w:val="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6695F9" w14:textId="77777777" w:rsidR="00F515B7" w:rsidRDefault="00F515B7" w:rsidP="00F515B7">
      <w:pPr>
        <w:pStyle w:val="BodyText2"/>
        <w:shd w:val="clear" w:color="auto" w:fill="auto"/>
        <w:spacing w:before="0" w:line="276" w:lineRule="auto"/>
        <w:ind w:left="90" w:right="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1-</w:t>
      </w:r>
      <w:r w:rsidRPr="00DB65EF">
        <w:rPr>
          <w:rFonts w:ascii="Times New Roman" w:hAnsi="Times New Roman" w:cs="Times New Roman"/>
          <w:sz w:val="28"/>
          <w:szCs w:val="28"/>
        </w:rPr>
        <w:t>A radiolucency of variable size is present, and the affected tooth shows loss of the apical lamina dura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65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458C8" w14:textId="77777777" w:rsidR="00F515B7" w:rsidRDefault="00F515B7" w:rsidP="00F515B7">
      <w:pPr>
        <w:pStyle w:val="BodyText2"/>
        <w:shd w:val="clear" w:color="auto" w:fill="auto"/>
        <w:spacing w:before="0" w:after="150" w:line="240" w:lineRule="auto"/>
        <w:ind w:right="20" w:first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</w:t>
      </w:r>
      <w:r w:rsidRPr="00DB65EF">
        <w:rPr>
          <w:rFonts w:ascii="Times New Roman" w:hAnsi="Times New Roman" w:cs="Times New Roman"/>
          <w:sz w:val="28"/>
          <w:szCs w:val="28"/>
        </w:rPr>
        <w:t>The lesion may be</w:t>
      </w:r>
      <w:r w:rsidRPr="003E4048">
        <w:rPr>
          <w:rFonts w:ascii="Times New Roman" w:hAnsi="Times New Roman" w:cs="Times New Roman"/>
          <w:sz w:val="28"/>
          <w:szCs w:val="28"/>
        </w:rPr>
        <w:t xml:space="preserve"> </w:t>
      </w:r>
      <w:r w:rsidRPr="00DB65EF">
        <w:rPr>
          <w:rFonts w:ascii="Times New Roman" w:hAnsi="Times New Roman" w:cs="Times New Roman"/>
          <w:sz w:val="28"/>
          <w:szCs w:val="28"/>
        </w:rPr>
        <w:t xml:space="preserve">circumscribed or ill-defined. The size is variable, ranging from small to </w:t>
      </w:r>
      <w:r>
        <w:rPr>
          <w:rFonts w:ascii="Times New Roman" w:hAnsi="Times New Roman" w:cs="Times New Roman"/>
          <w:sz w:val="28"/>
          <w:szCs w:val="28"/>
        </w:rPr>
        <w:t>radio</w:t>
      </w:r>
      <w:r w:rsidRPr="00DB65EF">
        <w:rPr>
          <w:rFonts w:ascii="Times New Roman" w:hAnsi="Times New Roman" w:cs="Times New Roman"/>
          <w:sz w:val="28"/>
          <w:szCs w:val="28"/>
        </w:rPr>
        <w:t>lucency exceeding 2 cm in diameter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91EDD02" w14:textId="77777777" w:rsidR="00F515B7" w:rsidRPr="00CF7A0D" w:rsidRDefault="00F515B7" w:rsidP="00F515B7">
      <w:pPr>
        <w:pStyle w:val="BodyText2"/>
        <w:shd w:val="clear" w:color="auto" w:fill="auto"/>
        <w:spacing w:before="0" w:after="150" w:line="240" w:lineRule="auto"/>
        <w:ind w:right="20" w:firstLine="240"/>
        <w:jc w:val="both"/>
        <w:rPr>
          <w:rStyle w:val="PicturecaptionExact"/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</w:t>
      </w:r>
      <w:r w:rsidRPr="00DB65EF">
        <w:rPr>
          <w:rFonts w:ascii="Times New Roman" w:hAnsi="Times New Roman" w:cs="Times New Roman"/>
          <w:sz w:val="28"/>
          <w:szCs w:val="28"/>
        </w:rPr>
        <w:t>Root resorption is not uncommon</w:t>
      </w:r>
    </w:p>
    <w:p w14:paraId="6742D20F" w14:textId="77777777" w:rsidR="00F515B7" w:rsidRPr="00F515B7" w:rsidRDefault="00F515B7" w:rsidP="00F515B7">
      <w:pPr>
        <w:pStyle w:val="BodyText2"/>
        <w:shd w:val="clear" w:color="auto" w:fill="auto"/>
        <w:tabs>
          <w:tab w:val="left" w:pos="2190"/>
        </w:tabs>
        <w:spacing w:before="0" w:line="276" w:lineRule="auto"/>
        <w:ind w:right="100" w:firstLine="0"/>
        <w:jc w:val="both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F515B7">
        <w:rPr>
          <w:rFonts w:ascii="Times New Roman" w:hAnsi="Times New Roman" w:cs="Times New Roman"/>
          <w:b/>
          <w:bCs/>
          <w:color w:val="C00000"/>
          <w:sz w:val="32"/>
          <w:szCs w:val="32"/>
        </w:rPr>
        <w:t>Treatment and Prognosis</w:t>
      </w:r>
    </w:p>
    <w:p w14:paraId="09817460" w14:textId="77777777" w:rsidR="00F515B7" w:rsidRPr="00F515B7" w:rsidRDefault="00F515B7" w:rsidP="00F515B7">
      <w:pPr>
        <w:spacing w:before="125" w:after="60"/>
        <w:ind w:left="72"/>
        <w:rPr>
          <w:rFonts w:asciiTheme="majorBidi" w:eastAsia="Times New Roman" w:hAnsiTheme="majorBidi" w:cstheme="majorBidi"/>
          <w:sz w:val="28"/>
          <w:szCs w:val="28"/>
        </w:rPr>
      </w:pPr>
      <w:r w:rsidRPr="00F515B7">
        <w:rPr>
          <w:rFonts w:asciiTheme="majorBidi" w:eastAsiaTheme="minorEastAsia" w:hAnsiTheme="majorBidi" w:cstheme="majorBidi"/>
          <w:kern w:val="24"/>
          <w:sz w:val="28"/>
          <w:szCs w:val="28"/>
        </w:rPr>
        <w:t>1) Either extraction of the tooth or R.C.T.</w:t>
      </w:r>
    </w:p>
    <w:p w14:paraId="465A4211" w14:textId="77777777" w:rsidR="00F515B7" w:rsidRPr="00F515B7" w:rsidRDefault="00F515B7" w:rsidP="00F515B7">
      <w:pPr>
        <w:spacing w:before="125" w:after="60"/>
        <w:ind w:left="72"/>
        <w:rPr>
          <w:rFonts w:asciiTheme="majorBidi" w:eastAsiaTheme="minorEastAsia" w:hAnsiTheme="majorBidi" w:cstheme="majorBidi"/>
          <w:kern w:val="24"/>
          <w:sz w:val="28"/>
          <w:szCs w:val="28"/>
        </w:rPr>
      </w:pPr>
      <w:r w:rsidRPr="00F515B7">
        <w:rPr>
          <w:rFonts w:asciiTheme="majorBidi" w:eastAsiaTheme="minorEastAsia" w:hAnsiTheme="majorBidi" w:cstheme="majorBidi"/>
          <w:kern w:val="24"/>
          <w:sz w:val="28"/>
          <w:szCs w:val="28"/>
        </w:rPr>
        <w:t>2) If left without treatment it can transfer into an apical periodontal cyst.</w:t>
      </w:r>
    </w:p>
    <w:p w14:paraId="16CF4334" w14:textId="00113BDF" w:rsidR="00AE3C3B" w:rsidRDefault="00AE3C3B" w:rsidP="00AE3C3B">
      <w:pPr>
        <w:pStyle w:val="Default"/>
        <w:rPr>
          <w:color w:val="FF0000"/>
          <w:sz w:val="36"/>
          <w:szCs w:val="36"/>
        </w:rPr>
      </w:pPr>
    </w:p>
    <w:p w14:paraId="118F2CC5" w14:textId="77777777" w:rsidR="00AE3C3B" w:rsidRPr="00AE3C3B" w:rsidRDefault="00AE3C3B" w:rsidP="00AE3C3B">
      <w:pPr>
        <w:pStyle w:val="Default"/>
        <w:rPr>
          <w:sz w:val="36"/>
          <w:szCs w:val="36"/>
        </w:rPr>
      </w:pPr>
    </w:p>
    <w:p w14:paraId="26953A48" w14:textId="28AC270B" w:rsidR="00360434" w:rsidRPr="00AE3C3B" w:rsidRDefault="00F515B7" w:rsidP="00AE3C3B">
      <w:pPr>
        <w:pStyle w:val="Default"/>
        <w:rPr>
          <w:sz w:val="28"/>
          <w:szCs w:val="28"/>
        </w:rPr>
      </w:pPr>
      <w:r>
        <w:rPr>
          <w:b/>
          <w:bCs/>
          <w:i/>
          <w:iCs/>
          <w:color w:val="FF0000"/>
          <w:sz w:val="32"/>
          <w:szCs w:val="32"/>
          <w:u w:val="single"/>
        </w:rPr>
        <w:t xml:space="preserve"> </w:t>
      </w:r>
    </w:p>
    <w:p w14:paraId="2714F6FF" w14:textId="0B0D09BB" w:rsidR="00AE3C3B" w:rsidRPr="00AE3C3B" w:rsidRDefault="00AE3C3B" w:rsidP="00AE3C3B">
      <w:pPr>
        <w:pStyle w:val="Default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</w:t>
      </w:r>
    </w:p>
    <w:p w14:paraId="7ABAFD3D" w14:textId="348BE495" w:rsidR="00AE3C3B" w:rsidRPr="00AE3C3B" w:rsidRDefault="00F515B7" w:rsidP="00AE3C3B">
      <w:pPr>
        <w:pStyle w:val="Default"/>
        <w:rPr>
          <w:sz w:val="28"/>
          <w:szCs w:val="28"/>
        </w:rPr>
      </w:pPr>
      <w:r>
        <w:rPr>
          <w:b/>
          <w:bCs/>
          <w:color w:val="auto"/>
          <w:sz w:val="28"/>
          <w:szCs w:val="28"/>
          <w:u w:val="single"/>
        </w:rPr>
        <w:t xml:space="preserve"> </w:t>
      </w:r>
    </w:p>
    <w:p w14:paraId="6469847D" w14:textId="75CCFD52" w:rsidR="00233EE0" w:rsidRPr="00AE3C3B" w:rsidRDefault="00F515B7" w:rsidP="00AE3C3B">
      <w:pPr>
        <w:spacing w:line="301" w:lineRule="auto"/>
        <w:rPr>
          <w:rFonts w:ascii="Playfair Display" w:eastAsia="Playfair Display" w:hAnsi="Playfair Display" w:cs="Playfair Display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14:paraId="3F0C947D" w14:textId="6D132CF5" w:rsidR="00233EE0" w:rsidRPr="00AE3C3B" w:rsidRDefault="00360434">
      <w:pPr>
        <w:spacing w:line="301" w:lineRule="auto"/>
        <w:jc w:val="center"/>
        <w:rPr>
          <w:rFonts w:ascii="Playfair Display" w:eastAsia="Playfair Display" w:hAnsi="Playfair Display" w:cs="Playfair Display"/>
          <w:sz w:val="28"/>
          <w:szCs w:val="28"/>
        </w:rPr>
      </w:pPr>
      <w:r w:rsidRPr="00360434">
        <w:rPr>
          <w:rFonts w:ascii="Playfair Display" w:eastAsia="Playfair Display" w:hAnsi="Playfair Display" w:cs="Playfair Display"/>
          <w:noProof/>
          <w:sz w:val="28"/>
          <w:szCs w:val="28"/>
        </w:rPr>
        <w:drawing>
          <wp:inline distT="0" distB="0" distL="0" distR="0" wp14:anchorId="532D97C1" wp14:editId="2C1642F3">
            <wp:extent cx="2559050" cy="2108200"/>
            <wp:effectExtent l="0" t="0" r="0" b="6350"/>
            <wp:docPr id="3629755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95A85" w14:textId="79A1B1EB" w:rsidR="00233EE0" w:rsidRDefault="00233EE0">
      <w:pPr>
        <w:rPr>
          <w:rFonts w:ascii="Montserrat" w:eastAsia="Montserrat" w:hAnsi="Montserrat" w:cs="Montserrat"/>
          <w:sz w:val="24"/>
          <w:szCs w:val="24"/>
        </w:rPr>
      </w:pPr>
    </w:p>
    <w:p w14:paraId="75775D61" w14:textId="737795C8" w:rsidR="00233EE0" w:rsidRPr="00B35F9C" w:rsidRDefault="00B35F9C" w:rsidP="00360434">
      <w:pPr>
        <w:rPr>
          <w:rFonts w:ascii="Playfair Display" w:eastAsia="Playfair Display" w:hAnsi="Playfair Display" w:cs="Playfair Display"/>
          <w:sz w:val="24"/>
          <w:szCs w:val="24"/>
        </w:rPr>
      </w:pPr>
      <w:r>
        <w:rPr>
          <w:rFonts w:ascii="Playfair Display" w:eastAsia="Playfair Display" w:hAnsi="Playfair Display" w:cs="Playfair Display"/>
          <w:sz w:val="24"/>
          <w:szCs w:val="24"/>
        </w:rPr>
        <w:t xml:space="preserve"> </w:t>
      </w:r>
      <w:r w:rsidRPr="00B35F9C">
        <w:rPr>
          <w:noProof/>
        </w:rPr>
        <w:t xml:space="preserve"> </w:t>
      </w:r>
    </w:p>
    <w:sectPr w:rsidR="00233EE0" w:rsidRPr="00B35F9C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40376" w14:textId="77777777" w:rsidR="0094529C" w:rsidRDefault="0094529C">
      <w:pPr>
        <w:spacing w:line="240" w:lineRule="auto"/>
      </w:pPr>
      <w:r>
        <w:separator/>
      </w:r>
    </w:p>
  </w:endnote>
  <w:endnote w:type="continuationSeparator" w:id="0">
    <w:p w14:paraId="6F8787C4" w14:textId="77777777" w:rsidR="0094529C" w:rsidRDefault="009452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F30A0C1-D33E-4515-8E6B-AE5745C65B1F}"/>
    <w:embedBold r:id="rId2" w:fontKey="{6F3465C9-CB90-4FD1-A072-5C41CB29B8A2}"/>
    <w:embedBoldItalic r:id="rId3" w:fontKey="{69F947B9-C0BB-4103-9FB0-DE7CE0667EBE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4" w:fontKey="{4C1D0A99-CBB5-42C2-95C3-F5841BA5D267}"/>
    <w:embedBold r:id="rId5" w:fontKey="{241AB5B5-EE1E-4B59-9089-E1A618EF0E18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2252BF34-A1C3-47BB-948F-64FA742E865D}"/>
    <w:embedBold r:id="rId7" w:fontKey="{C8568C28-082A-41F0-A7E9-12C304329D52}"/>
  </w:font>
  <w:font w:name="Playfair Display">
    <w:charset w:val="00"/>
    <w:family w:val="auto"/>
    <w:pitch w:val="variable"/>
    <w:sig w:usb0="20000207" w:usb1="00000000" w:usb2="00000000" w:usb3="00000000" w:csb0="00000197" w:csb1="00000000"/>
    <w:embedRegular r:id="rId8" w:fontKey="{FDCDA2EF-6CFC-49FB-9294-1E585CF77809}"/>
    <w:embedBold r:id="rId9" w:fontKey="{2423D92A-323B-4C24-BB16-101E3A0F615B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0" w:fontKey="{49A647A3-80CB-4B42-BEA0-9FE375919D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7F5800C7-EFF2-4F2C-B670-1DED54E790D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4AAEF" w14:textId="77777777" w:rsidR="0094529C" w:rsidRDefault="0094529C">
      <w:pPr>
        <w:spacing w:line="240" w:lineRule="auto"/>
      </w:pPr>
      <w:r>
        <w:separator/>
      </w:r>
    </w:p>
  </w:footnote>
  <w:footnote w:type="continuationSeparator" w:id="0">
    <w:p w14:paraId="7BBDB942" w14:textId="77777777" w:rsidR="0094529C" w:rsidRDefault="009452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6AB83" w14:textId="77777777" w:rsidR="00233EE0" w:rsidRDefault="00233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375FD"/>
    <w:multiLevelType w:val="hybridMultilevel"/>
    <w:tmpl w:val="08E0FCA4"/>
    <w:lvl w:ilvl="0" w:tplc="7EF4B6E0">
      <w:start w:val="1"/>
      <w:numFmt w:val="decimal"/>
      <w:lvlText w:val="%1-"/>
      <w:lvlJc w:val="left"/>
      <w:pPr>
        <w:ind w:left="48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num w:numId="1" w16cid:durableId="38607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E0"/>
    <w:rsid w:val="000D7C55"/>
    <w:rsid w:val="000E0C4A"/>
    <w:rsid w:val="001D734F"/>
    <w:rsid w:val="00233EE0"/>
    <w:rsid w:val="0035208B"/>
    <w:rsid w:val="00360434"/>
    <w:rsid w:val="00421314"/>
    <w:rsid w:val="004D0031"/>
    <w:rsid w:val="005B2AFD"/>
    <w:rsid w:val="006C3FE4"/>
    <w:rsid w:val="00764F37"/>
    <w:rsid w:val="00830E7C"/>
    <w:rsid w:val="0094529C"/>
    <w:rsid w:val="009F326F"/>
    <w:rsid w:val="00A87634"/>
    <w:rsid w:val="00AE3C3B"/>
    <w:rsid w:val="00B10218"/>
    <w:rsid w:val="00B35F9C"/>
    <w:rsid w:val="00B75ADF"/>
    <w:rsid w:val="00C96775"/>
    <w:rsid w:val="00D232E9"/>
    <w:rsid w:val="00E33047"/>
    <w:rsid w:val="00F250C0"/>
    <w:rsid w:val="00F515B7"/>
    <w:rsid w:val="00FC59B2"/>
    <w:rsid w:val="00FC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16869"/>
  <w15:docId w15:val="{4DB3F4F1-30EA-4449-9BBB-10213D7C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B35F9C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  <w:style w:type="character" w:customStyle="1" w:styleId="Heading20">
    <w:name w:val="Heading #2"/>
    <w:basedOn w:val="DefaultParagraphFont"/>
    <w:rsid w:val="00F515B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Bodytext">
    <w:name w:val="Body text_"/>
    <w:basedOn w:val="DefaultParagraphFont"/>
    <w:link w:val="BodyText2"/>
    <w:rsid w:val="00F515B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BodytextBold">
    <w:name w:val="Body text + Bold"/>
    <w:basedOn w:val="Bodytext"/>
    <w:rsid w:val="00F515B7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PicturecaptionExact">
    <w:name w:val="Picture caption Exact"/>
    <w:basedOn w:val="DefaultParagraphFont"/>
    <w:rsid w:val="00F515B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"/>
      <w:sz w:val="14"/>
      <w:szCs w:val="14"/>
      <w:u w:val="none"/>
    </w:rPr>
  </w:style>
  <w:style w:type="paragraph" w:customStyle="1" w:styleId="BodyText2">
    <w:name w:val="Body Text2"/>
    <w:basedOn w:val="Normal"/>
    <w:link w:val="Bodytext"/>
    <w:rsid w:val="00F515B7"/>
    <w:pPr>
      <w:widowControl w:val="0"/>
      <w:shd w:val="clear" w:color="auto" w:fill="FFFFFF"/>
      <w:spacing w:before="60" w:line="238" w:lineRule="exact"/>
      <w:ind w:hanging="240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Heading30">
    <w:name w:val="Heading #3"/>
    <w:basedOn w:val="DefaultParagraphFont"/>
    <w:rsid w:val="00F515B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ayadabdali.alshamma</cp:lastModifiedBy>
  <cp:revision>12</cp:revision>
  <dcterms:created xsi:type="dcterms:W3CDTF">2024-09-20T13:10:00Z</dcterms:created>
  <dcterms:modified xsi:type="dcterms:W3CDTF">2024-10-24T17:26:00Z</dcterms:modified>
</cp:coreProperties>
</file>