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45B95" w14:textId="77777777" w:rsidR="00EE61EA" w:rsidRDefault="00000000">
      <w:pPr>
        <w:rPr>
          <w:sz w:val="24"/>
          <w:szCs w:val="24"/>
        </w:rPr>
      </w:pPr>
      <w:r>
        <w:rPr>
          <w:noProof/>
          <w:sz w:val="24"/>
          <w:szCs w:val="24"/>
        </w:rPr>
        <w:drawing>
          <wp:inline distT="114300" distB="114300" distL="114300" distR="114300" wp14:anchorId="0BCB7018" wp14:editId="169805F0">
            <wp:extent cx="1876447" cy="2033588"/>
            <wp:effectExtent l="0" t="0" r="0" b="0"/>
            <wp:docPr id="5"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4"/>
                    <a:srcRect/>
                    <a:stretch>
                      <a:fillRect/>
                    </a:stretch>
                  </pic:blipFill>
                  <pic:spPr>
                    <a:xfrm>
                      <a:off x="0" y="0"/>
                      <a:ext cx="1876447" cy="2033588"/>
                    </a:xfrm>
                    <a:prstGeom prst="rect">
                      <a:avLst/>
                    </a:prstGeom>
                    <a:ln/>
                  </pic:spPr>
                </pic:pic>
              </a:graphicData>
            </a:graphic>
          </wp:inline>
        </w:drawing>
      </w:r>
      <w:r>
        <w:rPr>
          <w:sz w:val="24"/>
          <w:szCs w:val="24"/>
        </w:rPr>
        <w:t xml:space="preserve">                                     </w:t>
      </w:r>
      <w:r>
        <w:rPr>
          <w:noProof/>
          <w:sz w:val="24"/>
          <w:szCs w:val="24"/>
        </w:rPr>
        <w:drawing>
          <wp:inline distT="114300" distB="114300" distL="114300" distR="114300" wp14:anchorId="61288B06" wp14:editId="6B6A3FEA">
            <wp:extent cx="2097910" cy="2205038"/>
            <wp:effectExtent l="0" t="0" r="0" b="0"/>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
                    <a:srcRect/>
                    <a:stretch>
                      <a:fillRect/>
                    </a:stretch>
                  </pic:blipFill>
                  <pic:spPr>
                    <a:xfrm>
                      <a:off x="0" y="0"/>
                      <a:ext cx="2097910" cy="2205038"/>
                    </a:xfrm>
                    <a:prstGeom prst="rect">
                      <a:avLst/>
                    </a:prstGeom>
                    <a:ln/>
                  </pic:spPr>
                </pic:pic>
              </a:graphicData>
            </a:graphic>
          </wp:inline>
        </w:drawing>
      </w:r>
    </w:p>
    <w:p w14:paraId="733A5F6F" w14:textId="77777777" w:rsidR="00EE61EA" w:rsidRDefault="00000000">
      <w:pPr>
        <w:rPr>
          <w:sz w:val="24"/>
          <w:szCs w:val="24"/>
        </w:rPr>
      </w:pPr>
      <w:r>
        <w:rPr>
          <w:sz w:val="24"/>
          <w:szCs w:val="24"/>
        </w:rPr>
        <w:t xml:space="preserve"> </w:t>
      </w:r>
    </w:p>
    <w:p w14:paraId="216C0C47" w14:textId="77777777" w:rsidR="00EE61EA" w:rsidRDefault="00EE61EA">
      <w:pPr>
        <w:jc w:val="center"/>
        <w:rPr>
          <w:sz w:val="24"/>
          <w:szCs w:val="24"/>
        </w:rPr>
      </w:pPr>
    </w:p>
    <w:p w14:paraId="491FC972" w14:textId="77777777" w:rsidR="00EE61EA" w:rsidRDefault="00EE61EA">
      <w:pPr>
        <w:jc w:val="center"/>
        <w:rPr>
          <w:sz w:val="24"/>
          <w:szCs w:val="24"/>
        </w:rPr>
      </w:pPr>
    </w:p>
    <w:p w14:paraId="63800975" w14:textId="77777777" w:rsidR="00EE61EA" w:rsidRDefault="00EE61EA">
      <w:pPr>
        <w:jc w:val="center"/>
        <w:rPr>
          <w:sz w:val="24"/>
          <w:szCs w:val="24"/>
        </w:rPr>
      </w:pPr>
    </w:p>
    <w:p w14:paraId="41F7AEB0" w14:textId="77777777" w:rsidR="00EE61EA" w:rsidRDefault="00EE61EA">
      <w:pPr>
        <w:jc w:val="center"/>
        <w:rPr>
          <w:sz w:val="24"/>
          <w:szCs w:val="24"/>
        </w:rPr>
      </w:pPr>
    </w:p>
    <w:p w14:paraId="55F55FF7" w14:textId="77777777" w:rsidR="00EE61EA" w:rsidRDefault="00EE61EA">
      <w:pPr>
        <w:jc w:val="center"/>
        <w:rPr>
          <w:sz w:val="24"/>
          <w:szCs w:val="24"/>
        </w:rPr>
      </w:pPr>
    </w:p>
    <w:p w14:paraId="416F7241" w14:textId="77777777" w:rsidR="00EE61EA" w:rsidRDefault="00000000">
      <w:pPr>
        <w:jc w:val="center"/>
        <w:rPr>
          <w:sz w:val="72"/>
          <w:szCs w:val="72"/>
        </w:rPr>
      </w:pPr>
      <w:r>
        <w:rPr>
          <w:sz w:val="72"/>
          <w:szCs w:val="72"/>
        </w:rPr>
        <w:t>Oral Histology</w:t>
      </w:r>
    </w:p>
    <w:p w14:paraId="6B7EF430" w14:textId="77777777" w:rsidR="00EE61EA" w:rsidRDefault="00000000">
      <w:pPr>
        <w:jc w:val="center"/>
        <w:rPr>
          <w:sz w:val="24"/>
          <w:szCs w:val="24"/>
        </w:rPr>
      </w:pPr>
      <w:r>
        <w:pict w14:anchorId="6622F2EF">
          <v:rect id="_x0000_i1025" style="width:0;height:1.5pt" o:hralign="center" o:hrstd="t" o:hr="t" fillcolor="#a0a0a0" stroked="f"/>
        </w:pict>
      </w:r>
    </w:p>
    <w:p w14:paraId="37B5225D" w14:textId="77777777" w:rsidR="00504232" w:rsidRPr="00504232" w:rsidRDefault="00504232" w:rsidP="00504232">
      <w:pPr>
        <w:widowControl w:val="0"/>
        <w:spacing w:before="62" w:line="240" w:lineRule="auto"/>
        <w:ind w:left="193"/>
        <w:rPr>
          <w:sz w:val="56"/>
          <w:szCs w:val="56"/>
          <w:lang w:val="en-US"/>
        </w:rPr>
      </w:pPr>
      <w:r w:rsidRPr="00504232">
        <w:rPr>
          <w:sz w:val="56"/>
          <w:szCs w:val="56"/>
          <w:lang w:val="en-US"/>
        </w:rPr>
        <w:t>Development and Growth ofTeeth</w:t>
      </w:r>
    </w:p>
    <w:p w14:paraId="1B7C1E62" w14:textId="77777777" w:rsidR="00EE61EA" w:rsidRDefault="00EE61EA">
      <w:pPr>
        <w:jc w:val="center"/>
        <w:rPr>
          <w:sz w:val="24"/>
          <w:szCs w:val="24"/>
        </w:rPr>
      </w:pPr>
    </w:p>
    <w:p w14:paraId="03A64EDA" w14:textId="77777777" w:rsidR="00EE61EA" w:rsidRDefault="00000000">
      <w:pPr>
        <w:jc w:val="center"/>
        <w:rPr>
          <w:sz w:val="24"/>
          <w:szCs w:val="24"/>
        </w:rPr>
      </w:pPr>
      <w:r>
        <w:pict w14:anchorId="65CEAFA3">
          <v:rect id="_x0000_i1026" style="width:0;height:1.5pt" o:hralign="center" o:hrstd="t" o:hr="t" fillcolor="#a0a0a0" stroked="f"/>
        </w:pict>
      </w:r>
    </w:p>
    <w:p w14:paraId="1E2BB77C" w14:textId="3BE79238" w:rsidR="00EE61EA" w:rsidRDefault="00000000">
      <w:pPr>
        <w:jc w:val="center"/>
        <w:rPr>
          <w:sz w:val="48"/>
          <w:szCs w:val="48"/>
        </w:rPr>
      </w:pPr>
      <w:r>
        <w:rPr>
          <w:sz w:val="48"/>
          <w:szCs w:val="48"/>
        </w:rPr>
        <w:t xml:space="preserve">Lecture </w:t>
      </w:r>
      <w:r w:rsidR="00504232">
        <w:rPr>
          <w:sz w:val="48"/>
          <w:szCs w:val="48"/>
        </w:rPr>
        <w:t>6</w:t>
      </w:r>
      <w:r>
        <w:rPr>
          <w:sz w:val="48"/>
          <w:szCs w:val="48"/>
        </w:rPr>
        <w:t xml:space="preserve"> </w:t>
      </w:r>
    </w:p>
    <w:p w14:paraId="0E2AC74F" w14:textId="77777777" w:rsidR="00EE61EA" w:rsidRDefault="00EE61EA">
      <w:pPr>
        <w:jc w:val="center"/>
        <w:rPr>
          <w:sz w:val="48"/>
          <w:szCs w:val="48"/>
        </w:rPr>
      </w:pPr>
    </w:p>
    <w:p w14:paraId="1A2CE6D3" w14:textId="77777777" w:rsidR="00EE61EA" w:rsidRDefault="00000000">
      <w:pPr>
        <w:jc w:val="center"/>
        <w:rPr>
          <w:sz w:val="48"/>
          <w:szCs w:val="48"/>
        </w:rPr>
      </w:pPr>
      <w:r>
        <w:rPr>
          <w:sz w:val="48"/>
          <w:szCs w:val="48"/>
        </w:rPr>
        <w:t>Prof. Dr. Muna Merza</w:t>
      </w:r>
    </w:p>
    <w:p w14:paraId="479FE290" w14:textId="77777777" w:rsidR="00EE61EA" w:rsidRDefault="00EE61EA">
      <w:pPr>
        <w:jc w:val="center"/>
        <w:rPr>
          <w:sz w:val="24"/>
          <w:szCs w:val="24"/>
        </w:rPr>
      </w:pPr>
    </w:p>
    <w:p w14:paraId="5BC38F75" w14:textId="77777777" w:rsidR="00EE61EA" w:rsidRDefault="00EE61EA">
      <w:pPr>
        <w:jc w:val="center"/>
        <w:rPr>
          <w:sz w:val="24"/>
          <w:szCs w:val="24"/>
        </w:rPr>
      </w:pPr>
    </w:p>
    <w:p w14:paraId="78635544" w14:textId="77777777" w:rsidR="00EE61EA" w:rsidRDefault="00EE61EA">
      <w:pPr>
        <w:jc w:val="center"/>
        <w:rPr>
          <w:sz w:val="24"/>
          <w:szCs w:val="24"/>
        </w:rPr>
      </w:pPr>
    </w:p>
    <w:p w14:paraId="15CB02C6" w14:textId="77777777" w:rsidR="00EE61EA" w:rsidRDefault="00EE61EA">
      <w:pPr>
        <w:jc w:val="center"/>
        <w:rPr>
          <w:sz w:val="24"/>
          <w:szCs w:val="24"/>
        </w:rPr>
      </w:pPr>
    </w:p>
    <w:p w14:paraId="28361D27" w14:textId="77777777" w:rsidR="00EE61EA" w:rsidRDefault="00EE61EA">
      <w:pPr>
        <w:jc w:val="center"/>
        <w:rPr>
          <w:sz w:val="24"/>
          <w:szCs w:val="24"/>
        </w:rPr>
      </w:pPr>
    </w:p>
    <w:p w14:paraId="3F0935FD" w14:textId="77777777" w:rsidR="00EE61EA" w:rsidRDefault="00EE61EA">
      <w:pPr>
        <w:jc w:val="center"/>
        <w:rPr>
          <w:sz w:val="24"/>
          <w:szCs w:val="24"/>
        </w:rPr>
      </w:pPr>
    </w:p>
    <w:p w14:paraId="5F68F610" w14:textId="77777777" w:rsidR="00EE61EA" w:rsidRDefault="00EE61EA">
      <w:pPr>
        <w:jc w:val="center"/>
        <w:rPr>
          <w:sz w:val="24"/>
          <w:szCs w:val="24"/>
        </w:rPr>
      </w:pPr>
    </w:p>
    <w:p w14:paraId="58B4A4C5" w14:textId="77777777" w:rsidR="00EE61EA" w:rsidRDefault="00EE61EA">
      <w:pPr>
        <w:jc w:val="center"/>
        <w:rPr>
          <w:sz w:val="24"/>
          <w:szCs w:val="24"/>
        </w:rPr>
      </w:pPr>
    </w:p>
    <w:p w14:paraId="2521F50E" w14:textId="77777777" w:rsidR="00EE61EA" w:rsidRDefault="00EE61EA">
      <w:pPr>
        <w:jc w:val="center"/>
        <w:rPr>
          <w:sz w:val="24"/>
          <w:szCs w:val="24"/>
        </w:rPr>
      </w:pPr>
    </w:p>
    <w:p w14:paraId="22C2EB9C" w14:textId="77777777" w:rsidR="00EE61EA" w:rsidRDefault="00EE61EA">
      <w:pPr>
        <w:jc w:val="center"/>
        <w:rPr>
          <w:sz w:val="24"/>
          <w:szCs w:val="24"/>
        </w:rPr>
      </w:pPr>
    </w:p>
    <w:p w14:paraId="2AD58B20" w14:textId="77777777" w:rsidR="00EE61EA" w:rsidRDefault="00EE61EA">
      <w:pPr>
        <w:jc w:val="center"/>
        <w:rPr>
          <w:sz w:val="24"/>
          <w:szCs w:val="24"/>
        </w:rPr>
      </w:pPr>
    </w:p>
    <w:p w14:paraId="5D472117" w14:textId="77777777" w:rsidR="00EE61EA" w:rsidRDefault="00EE61EA">
      <w:pPr>
        <w:jc w:val="center"/>
        <w:rPr>
          <w:sz w:val="24"/>
          <w:szCs w:val="24"/>
        </w:rPr>
      </w:pPr>
    </w:p>
    <w:p w14:paraId="0CCD60BA" w14:textId="77777777" w:rsidR="00EE61EA" w:rsidRDefault="00EE61EA">
      <w:pPr>
        <w:jc w:val="center"/>
        <w:rPr>
          <w:sz w:val="24"/>
          <w:szCs w:val="24"/>
        </w:rPr>
      </w:pPr>
    </w:p>
    <w:p w14:paraId="3E046C3A" w14:textId="77777777" w:rsidR="00EE61EA" w:rsidRDefault="00EE61EA">
      <w:pPr>
        <w:rPr>
          <w:sz w:val="24"/>
          <w:szCs w:val="24"/>
        </w:rPr>
      </w:pPr>
    </w:p>
    <w:p w14:paraId="22D8845A" w14:textId="77777777" w:rsidR="00504232" w:rsidRPr="00504232" w:rsidRDefault="00504232" w:rsidP="00504232">
      <w:pPr>
        <w:widowControl w:val="0"/>
        <w:spacing w:before="62" w:line="240" w:lineRule="auto"/>
        <w:ind w:left="193"/>
        <w:rPr>
          <w:sz w:val="35"/>
          <w:szCs w:val="35"/>
          <w:lang w:val="en-US"/>
        </w:rPr>
      </w:pPr>
      <w:r w:rsidRPr="00504232">
        <w:rPr>
          <w:sz w:val="35"/>
          <w:szCs w:val="35"/>
          <w:lang w:val="en-US"/>
        </w:rPr>
        <w:t>Development and Growth ofTeeth</w:t>
      </w:r>
    </w:p>
    <w:p w14:paraId="675A4566" w14:textId="77777777" w:rsidR="00504232" w:rsidRPr="00504232" w:rsidRDefault="00504232" w:rsidP="00504232">
      <w:pPr>
        <w:widowControl w:val="0"/>
        <w:pBdr>
          <w:top w:val="nil"/>
          <w:left w:val="nil"/>
          <w:bottom w:val="nil"/>
          <w:right w:val="nil"/>
          <w:between w:val="nil"/>
        </w:pBdr>
        <w:spacing w:before="1" w:line="240" w:lineRule="auto"/>
        <w:rPr>
          <w:color w:val="000000"/>
          <w:sz w:val="30"/>
          <w:szCs w:val="30"/>
          <w:lang w:val="en-US"/>
        </w:rPr>
      </w:pPr>
    </w:p>
    <w:p w14:paraId="0D25544E" w14:textId="77777777" w:rsidR="00504232" w:rsidRDefault="00504232" w:rsidP="00504232">
      <w:pPr>
        <w:widowControl w:val="0"/>
        <w:spacing w:line="434" w:lineRule="auto"/>
        <w:ind w:left="196" w:right="559" w:firstLine="21"/>
        <w:rPr>
          <w:rFonts w:ascii="Trebuchet MS" w:eastAsia="Trebuchet MS" w:hAnsi="Trebuchet MS" w:cs="Trebuchet MS"/>
          <w:sz w:val="36"/>
          <w:szCs w:val="36"/>
          <w:lang w:val="en-US"/>
        </w:rPr>
      </w:pPr>
      <w:r w:rsidRPr="00504232">
        <w:rPr>
          <w:rFonts w:ascii="Trebuchet MS" w:eastAsia="Trebuchet MS" w:hAnsi="Trebuchet MS" w:cs="Trebuchet MS"/>
          <w:sz w:val="34"/>
          <w:szCs w:val="34"/>
          <w:lang w:val="en-US"/>
        </w:rPr>
        <w:t xml:space="preserve">Two or three weeks after the rupture of the buccopharyngeal </w:t>
      </w:r>
      <w:r w:rsidRPr="00504232">
        <w:rPr>
          <w:rFonts w:ascii="Trebuchet MS" w:eastAsia="Trebuchet MS" w:hAnsi="Trebuchet MS" w:cs="Trebuchet MS"/>
          <w:sz w:val="36"/>
          <w:szCs w:val="36"/>
          <w:lang w:val="en-US"/>
        </w:rPr>
        <w:t xml:space="preserve">membrane, when the embryo is about 6 wecks old, certain </w:t>
      </w:r>
      <w:r w:rsidRPr="00504232">
        <w:rPr>
          <w:sz w:val="34"/>
          <w:szCs w:val="34"/>
          <w:lang w:val="en-US"/>
        </w:rPr>
        <w:t xml:space="preserve">areas of basal cells of  the  oral ectoderm  proliferate  mare </w:t>
      </w:r>
      <w:r w:rsidRPr="00504232">
        <w:rPr>
          <w:rFonts w:ascii="Trebuchet MS" w:eastAsia="Trebuchet MS" w:hAnsi="Trebuchet MS" w:cs="Trebuchet MS"/>
          <w:sz w:val="36"/>
          <w:szCs w:val="36"/>
          <w:lang w:val="en-US"/>
        </w:rPr>
        <w:t xml:space="preserve">rapidly than do the cells of the adjacent areas. This leads to the </w:t>
      </w:r>
      <w:r w:rsidRPr="00504232">
        <w:rPr>
          <w:sz w:val="34"/>
          <w:szCs w:val="34"/>
          <w:lang w:val="en-US"/>
        </w:rPr>
        <w:t xml:space="preserve">formation of the Primary epithelial band which is a band of </w:t>
      </w:r>
      <w:r w:rsidRPr="00504232">
        <w:rPr>
          <w:rFonts w:ascii="Trebuchet MS" w:eastAsia="Trebuchet MS" w:hAnsi="Trebuchet MS" w:cs="Trebuchet MS"/>
          <w:sz w:val="37"/>
          <w:szCs w:val="37"/>
          <w:lang w:val="en-US"/>
        </w:rPr>
        <w:t xml:space="preserve">epithelium that has invaded the underlying ectomesenchyme </w:t>
      </w:r>
      <w:r w:rsidRPr="00504232">
        <w:rPr>
          <w:rFonts w:ascii="Trebuchet MS" w:eastAsia="Trebuchet MS" w:hAnsi="Trebuchet MS" w:cs="Trebuchet MS"/>
          <w:sz w:val="36"/>
          <w:szCs w:val="36"/>
          <w:lang w:val="en-US"/>
        </w:rPr>
        <w:t>along each of the horseshoe-shaped future dental arches</w:t>
      </w:r>
    </w:p>
    <w:p w14:paraId="1AF97746" w14:textId="6F61733F" w:rsidR="00504232" w:rsidRPr="00504232" w:rsidRDefault="00504232" w:rsidP="00504232">
      <w:pPr>
        <w:widowControl w:val="0"/>
        <w:spacing w:line="434" w:lineRule="auto"/>
        <w:ind w:left="196" w:right="559" w:firstLine="21"/>
        <w:rPr>
          <w:rFonts w:ascii="Trebuchet MS" w:eastAsia="Trebuchet MS" w:hAnsi="Trebuchet MS" w:cs="Trebuchet MS"/>
          <w:sz w:val="36"/>
          <w:szCs w:val="36"/>
          <w:lang w:val="en-US"/>
        </w:rPr>
      </w:pPr>
      <w:r>
        <w:rPr>
          <w:noProof/>
          <w:sz w:val="42"/>
          <w:szCs w:val="42"/>
        </w:rPr>
        <w:drawing>
          <wp:inline distT="114300" distB="114300" distL="114300" distR="114300" wp14:anchorId="088F2848" wp14:editId="1E0974F9">
            <wp:extent cx="5733415" cy="2540221"/>
            <wp:effectExtent l="0" t="0" r="635" b="0"/>
            <wp:docPr id="1370883347" name="Picture 1370883347"/>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5733415" cy="2540221"/>
                    </a:xfrm>
                    <a:prstGeom prst="rect">
                      <a:avLst/>
                    </a:prstGeom>
                    <a:ln/>
                  </pic:spPr>
                </pic:pic>
              </a:graphicData>
            </a:graphic>
          </wp:inline>
        </w:drawing>
      </w:r>
    </w:p>
    <w:p w14:paraId="61899BCE" w14:textId="77777777" w:rsidR="00504232" w:rsidRPr="00504232" w:rsidRDefault="00504232" w:rsidP="00504232">
      <w:pPr>
        <w:widowControl w:val="0"/>
        <w:spacing w:before="88" w:line="451" w:lineRule="auto"/>
        <w:ind w:left="169" w:right="1098" w:firstLine="21"/>
        <w:rPr>
          <w:rFonts w:ascii="Trebuchet MS" w:eastAsia="Trebuchet MS" w:hAnsi="Trebuchet MS" w:cs="Trebuchet MS"/>
          <w:sz w:val="35"/>
          <w:szCs w:val="35"/>
          <w:lang w:val="en-US"/>
        </w:rPr>
      </w:pPr>
      <w:r w:rsidRPr="00504232">
        <w:rPr>
          <w:sz w:val="37"/>
          <w:szCs w:val="37"/>
          <w:lang w:val="en-US"/>
        </w:rPr>
        <w:t xml:space="preserve">At about 7th week the primary epithelial band divides into an </w:t>
      </w:r>
      <w:r w:rsidRPr="00504232">
        <w:rPr>
          <w:sz w:val="33"/>
          <w:szCs w:val="33"/>
          <w:lang w:val="en-US"/>
        </w:rPr>
        <w:t xml:space="preserve">inner (lingual) process called Dental </w:t>
      </w:r>
      <w:r w:rsidRPr="00504232">
        <w:rPr>
          <w:sz w:val="33"/>
          <w:szCs w:val="33"/>
          <w:lang w:val="en-US"/>
        </w:rPr>
        <w:lastRenderedPageBreak/>
        <w:t xml:space="preserve">lamina and an outer (buccal) process called Vestibular lamina. The dental laminae </w:t>
      </w:r>
      <w:r w:rsidRPr="00504232">
        <w:rPr>
          <w:sz w:val="32"/>
          <w:szCs w:val="32"/>
          <w:lang w:val="en-US"/>
        </w:rPr>
        <w:t xml:space="preserve">serve as the primordium for the ectodermal portion of the </w:t>
      </w:r>
      <w:r w:rsidRPr="00504232">
        <w:rPr>
          <w:rFonts w:ascii="Trebuchet MS" w:eastAsia="Trebuchet MS" w:hAnsi="Trebuchet MS" w:cs="Trebuchet MS"/>
          <w:sz w:val="36"/>
          <w:szCs w:val="36"/>
          <w:lang w:val="en-US"/>
        </w:rPr>
        <w:t xml:space="preserve">deciduous teeth. Later, during the development of the jaws, </w:t>
      </w:r>
      <w:r w:rsidRPr="00504232">
        <w:rPr>
          <w:sz w:val="32"/>
          <w:szCs w:val="32"/>
          <w:lang w:val="en-US"/>
        </w:rPr>
        <w:t xml:space="preserve">the permanent molars arise directly from  a  distal extension  of </w:t>
      </w:r>
      <w:r w:rsidRPr="00504232">
        <w:rPr>
          <w:rFonts w:ascii="Trebuchet MS" w:eastAsia="Trebuchet MS" w:hAnsi="Trebuchet MS" w:cs="Trebuchet MS"/>
          <w:sz w:val="35"/>
          <w:szCs w:val="35"/>
          <w:lang w:val="en-US"/>
        </w:rPr>
        <w:t>the dental lamina</w:t>
      </w:r>
    </w:p>
    <w:p w14:paraId="6C1FE1E4" w14:textId="51E68E3F" w:rsidR="00504232" w:rsidRPr="00504232" w:rsidRDefault="00504232" w:rsidP="00504232">
      <w:pPr>
        <w:widowControl w:val="0"/>
        <w:pBdr>
          <w:top w:val="nil"/>
          <w:left w:val="nil"/>
          <w:bottom w:val="nil"/>
          <w:right w:val="nil"/>
          <w:between w:val="nil"/>
        </w:pBdr>
        <w:spacing w:line="240" w:lineRule="auto"/>
        <w:rPr>
          <w:rFonts w:ascii="Trebuchet MS" w:eastAsia="Trebuchet MS" w:hAnsi="Trebuchet MS" w:cs="Trebuchet MS"/>
          <w:color w:val="000000"/>
          <w:sz w:val="42"/>
          <w:szCs w:val="42"/>
          <w:lang w:val="en-US"/>
        </w:rPr>
      </w:pPr>
      <w:r>
        <w:rPr>
          <w:noProof/>
        </w:rPr>
        <w:drawing>
          <wp:inline distT="114300" distB="114300" distL="114300" distR="114300" wp14:anchorId="14EBE034" wp14:editId="5EA5C4F5">
            <wp:extent cx="5733415" cy="3675040"/>
            <wp:effectExtent l="0" t="0" r="635" b="1905"/>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5733415" cy="3675040"/>
                    </a:xfrm>
                    <a:prstGeom prst="rect">
                      <a:avLst/>
                    </a:prstGeom>
                    <a:ln/>
                  </pic:spPr>
                </pic:pic>
              </a:graphicData>
            </a:graphic>
          </wp:inline>
        </w:drawing>
      </w:r>
    </w:p>
    <w:p w14:paraId="0DC57EA2" w14:textId="192A7052" w:rsidR="00EE61EA" w:rsidRDefault="00EE61EA">
      <w:pPr>
        <w:jc w:val="center"/>
      </w:pPr>
    </w:p>
    <w:p w14:paraId="6C97B65C" w14:textId="77777777" w:rsidR="00EE61EA" w:rsidRDefault="00EE61EA"/>
    <w:p w14:paraId="03661347" w14:textId="657E4555" w:rsidR="00EE61EA" w:rsidRDefault="00504232">
      <w:pPr>
        <w:rPr>
          <w:sz w:val="24"/>
          <w:szCs w:val="24"/>
        </w:rPr>
      </w:pPr>
      <w:r>
        <w:rPr>
          <w:sz w:val="24"/>
          <w:szCs w:val="24"/>
        </w:rPr>
        <w:t xml:space="preserve"> </w:t>
      </w:r>
    </w:p>
    <w:p w14:paraId="7DFE4C6D" w14:textId="1B4DEBFF" w:rsidR="00EE61EA" w:rsidRDefault="00504232">
      <w:r>
        <w:rPr>
          <w:noProof/>
          <w:sz w:val="20"/>
          <w:szCs w:val="20"/>
        </w:rPr>
        <w:lastRenderedPageBreak/>
        <w:drawing>
          <wp:inline distT="114300" distB="114300" distL="114300" distR="114300" wp14:anchorId="176359D3" wp14:editId="7EC58198">
            <wp:extent cx="5733415" cy="2557314"/>
            <wp:effectExtent l="0" t="0" r="635"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5733415" cy="2557314"/>
                    </a:xfrm>
                    <a:prstGeom prst="rect">
                      <a:avLst/>
                    </a:prstGeom>
                    <a:ln/>
                  </pic:spPr>
                </pic:pic>
              </a:graphicData>
            </a:graphic>
          </wp:inline>
        </w:drawing>
      </w:r>
    </w:p>
    <w:p w14:paraId="1FC6F64C" w14:textId="6332F1C6" w:rsidR="00EE61EA" w:rsidRDefault="00EE61EA">
      <w:pPr>
        <w:jc w:val="center"/>
      </w:pPr>
    </w:p>
    <w:p w14:paraId="3FB7C196" w14:textId="77777777" w:rsidR="00504232" w:rsidRPr="00504232" w:rsidRDefault="00504232" w:rsidP="00504232">
      <w:pPr>
        <w:widowControl w:val="0"/>
        <w:spacing w:before="101" w:line="360" w:lineRule="auto"/>
        <w:ind w:left="170" w:right="991" w:firstLine="8"/>
        <w:rPr>
          <w:rFonts w:ascii="Trebuchet MS" w:eastAsia="Trebuchet MS" w:hAnsi="Trebuchet MS" w:cs="Trebuchet MS"/>
          <w:sz w:val="35"/>
          <w:szCs w:val="35"/>
          <w:lang w:val="en-US"/>
        </w:rPr>
      </w:pPr>
      <w:r w:rsidRPr="00504232">
        <w:rPr>
          <w:rFonts w:ascii="Trebuchet MS" w:eastAsia="Trebuchet MS" w:hAnsi="Trebuchet MS" w:cs="Trebuchet MS"/>
          <w:sz w:val="36"/>
          <w:szCs w:val="36"/>
          <w:lang w:val="en-US"/>
        </w:rPr>
        <w:t xml:space="preserve">The development of the first permanent molar is initiated at </w:t>
      </w:r>
      <w:r w:rsidRPr="00504232">
        <w:rPr>
          <w:rFonts w:ascii="Trebuchet MS" w:eastAsia="Trebuchet MS" w:hAnsi="Trebuchet MS" w:cs="Trebuchet MS"/>
          <w:sz w:val="34"/>
          <w:szCs w:val="34"/>
          <w:lang w:val="en-US"/>
        </w:rPr>
        <w:t xml:space="preserve">the fourth month in utero. The second molar is initiated at </w:t>
      </w:r>
      <w:r w:rsidRPr="00504232">
        <w:rPr>
          <w:rFonts w:ascii="Trebuchet MS" w:eastAsia="Trebuchet MS" w:hAnsi="Trebuchet MS" w:cs="Trebuchet MS"/>
          <w:sz w:val="35"/>
          <w:szCs w:val="35"/>
          <w:lang w:val="en-US"/>
        </w:rPr>
        <w:t xml:space="preserve">about the first year after birth, the third molar at the fourth or fifth years, The distal proliferation of the dental lamina is responsible for the location of the germs of the permanent molars in the ramus of the mandible and the tuberosity of the </w:t>
      </w:r>
      <w:r w:rsidRPr="00504232">
        <w:rPr>
          <w:rFonts w:ascii="Trebuchet MS" w:eastAsia="Trebuchet MS" w:hAnsi="Trebuchet MS" w:cs="Trebuchet MS"/>
          <w:sz w:val="36"/>
          <w:szCs w:val="36"/>
          <w:lang w:val="en-US"/>
        </w:rPr>
        <w:t xml:space="preserve">maxilla. The successors of the deciduous teeth develop from a </w:t>
      </w:r>
      <w:r w:rsidRPr="00504232">
        <w:rPr>
          <w:rFonts w:ascii="Trebuchet MS" w:eastAsia="Trebuchet MS" w:hAnsi="Trebuchet MS" w:cs="Trebuchet MS"/>
          <w:sz w:val="35"/>
          <w:szCs w:val="35"/>
          <w:lang w:val="en-US"/>
        </w:rPr>
        <w:t>lingual extension of the free end of the dental lamina opposite to the enamel organ of each deciduous tooth</w:t>
      </w:r>
    </w:p>
    <w:p w14:paraId="2EE38F76" w14:textId="5683B819" w:rsidR="00EE61EA" w:rsidRDefault="00504232">
      <w:r>
        <w:rPr>
          <w:noProof/>
          <w:sz w:val="20"/>
          <w:szCs w:val="20"/>
        </w:rPr>
        <w:lastRenderedPageBreak/>
        <w:drawing>
          <wp:inline distT="114300" distB="114300" distL="114300" distR="114300" wp14:anchorId="163A7532" wp14:editId="2790B528">
            <wp:extent cx="5733415" cy="2834588"/>
            <wp:effectExtent l="0" t="0" r="635" b="4445"/>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733415" cy="2834588"/>
                    </a:xfrm>
                    <a:prstGeom prst="rect">
                      <a:avLst/>
                    </a:prstGeom>
                    <a:ln/>
                  </pic:spPr>
                </pic:pic>
              </a:graphicData>
            </a:graphic>
          </wp:inline>
        </w:drawing>
      </w:r>
    </w:p>
    <w:p w14:paraId="7E1852A8" w14:textId="199FA636" w:rsidR="00EE61EA" w:rsidRDefault="00504232">
      <w:pPr>
        <w:rPr>
          <w:sz w:val="24"/>
          <w:szCs w:val="24"/>
        </w:rPr>
      </w:pPr>
      <w:r>
        <w:rPr>
          <w:sz w:val="24"/>
          <w:szCs w:val="24"/>
        </w:rPr>
        <w:t xml:space="preserve"> </w:t>
      </w:r>
    </w:p>
    <w:p w14:paraId="0627FC7B" w14:textId="3280CDD7" w:rsidR="00EE61EA" w:rsidRDefault="00EE61EA">
      <w:pPr>
        <w:jc w:val="center"/>
      </w:pPr>
    </w:p>
    <w:p w14:paraId="49FA6496" w14:textId="77777777" w:rsidR="00504232" w:rsidRPr="00504232" w:rsidRDefault="00504232" w:rsidP="00504232">
      <w:pPr>
        <w:widowControl w:val="0"/>
        <w:spacing w:before="234" w:line="240" w:lineRule="auto"/>
        <w:ind w:left="164"/>
        <w:rPr>
          <w:rFonts w:ascii="Trebuchet MS" w:eastAsia="Trebuchet MS" w:hAnsi="Trebuchet MS" w:cs="Trebuchet MS"/>
          <w:sz w:val="36"/>
          <w:szCs w:val="36"/>
          <w:lang w:val="en-US"/>
        </w:rPr>
      </w:pPr>
      <w:r w:rsidRPr="00504232">
        <w:rPr>
          <w:rFonts w:ascii="Trebuchet MS" w:eastAsia="Trebuchet MS" w:hAnsi="Trebuchet MS" w:cs="Trebuchet MS"/>
          <w:sz w:val="36"/>
          <w:szCs w:val="36"/>
          <w:lang w:val="en-US"/>
        </w:rPr>
        <w:t>DEVELOPMENTAL STAGEs</w:t>
      </w:r>
    </w:p>
    <w:p w14:paraId="25F1A7B2" w14:textId="02A4A3EA" w:rsidR="00504232" w:rsidRPr="00504232" w:rsidRDefault="00504232" w:rsidP="00504232">
      <w:pPr>
        <w:widowControl w:val="0"/>
        <w:spacing w:before="192" w:line="355" w:lineRule="auto"/>
        <w:ind w:left="168" w:right="991" w:firstLine="36"/>
        <w:rPr>
          <w:rFonts w:ascii="Trebuchet MS" w:eastAsia="Trebuchet MS" w:hAnsi="Trebuchet MS" w:cs="Trebuchet MS"/>
          <w:sz w:val="35"/>
          <w:szCs w:val="35"/>
          <w:lang w:val="en-US"/>
        </w:rPr>
      </w:pPr>
      <w:r w:rsidRPr="00504232">
        <w:rPr>
          <w:rFonts w:ascii="Trebuchet MS" w:eastAsia="Trebuchet MS" w:hAnsi="Trebuchet MS" w:cs="Trebuchet MS"/>
          <w:sz w:val="36"/>
          <w:szCs w:val="36"/>
          <w:lang w:val="en-US"/>
        </w:rPr>
        <w:t xml:space="preserve">Although tooth development is divided into several </w:t>
      </w:r>
      <w:r w:rsidRPr="00504232">
        <w:rPr>
          <w:rFonts w:ascii="Trebuchet MS" w:eastAsia="Trebuchet MS" w:hAnsi="Trebuchet MS" w:cs="Trebuchet MS"/>
          <w:sz w:val="35"/>
          <w:szCs w:val="35"/>
          <w:lang w:val="en-US"/>
        </w:rPr>
        <w:t>morphologic 'stages'</w:t>
      </w:r>
      <w:r>
        <w:rPr>
          <w:rFonts w:ascii="Trebuchet MS" w:eastAsia="Trebuchet MS" w:hAnsi="Trebuchet MS" w:cs="Trebuchet MS"/>
          <w:sz w:val="35"/>
          <w:szCs w:val="35"/>
          <w:lang w:val="en-US"/>
        </w:rPr>
        <w:t xml:space="preserve"> and </w:t>
      </w:r>
      <w:r w:rsidRPr="00504232">
        <w:rPr>
          <w:rFonts w:ascii="Trebuchet MS" w:eastAsia="Trebuchet MS" w:hAnsi="Trebuchet MS" w:cs="Trebuchet MS"/>
          <w:sz w:val="35"/>
          <w:szCs w:val="35"/>
          <w:lang w:val="en-US"/>
        </w:rPr>
        <w:t xml:space="preserve"> are called the bud, cap, and bell stages</w:t>
      </w:r>
    </w:p>
    <w:p w14:paraId="42BB27B0" w14:textId="0DEFA24F" w:rsidR="00504232" w:rsidRPr="00504232" w:rsidRDefault="00504232" w:rsidP="00504232">
      <w:pPr>
        <w:widowControl w:val="0"/>
        <w:pBdr>
          <w:top w:val="nil"/>
          <w:left w:val="nil"/>
          <w:bottom w:val="nil"/>
          <w:right w:val="nil"/>
          <w:between w:val="nil"/>
        </w:pBdr>
        <w:spacing w:line="240" w:lineRule="auto"/>
        <w:rPr>
          <w:rFonts w:ascii="Trebuchet MS" w:eastAsia="Trebuchet MS" w:hAnsi="Trebuchet MS" w:cs="Trebuchet MS"/>
          <w:color w:val="000000"/>
          <w:sz w:val="40"/>
          <w:szCs w:val="40"/>
          <w:lang w:val="en-US"/>
        </w:rPr>
      </w:pPr>
      <w:r>
        <w:rPr>
          <w:rFonts w:ascii="Cambria" w:eastAsia="Cambria" w:hAnsi="Cambria" w:cs="Cambria"/>
          <w:noProof/>
          <w:sz w:val="20"/>
          <w:szCs w:val="20"/>
        </w:rPr>
        <w:drawing>
          <wp:inline distT="114300" distB="114300" distL="114300" distR="114300" wp14:anchorId="3D325C3C" wp14:editId="0FD20A96">
            <wp:extent cx="5733415" cy="2855153"/>
            <wp:effectExtent l="0" t="0" r="635" b="254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5733415" cy="2855153"/>
                    </a:xfrm>
                    <a:prstGeom prst="rect">
                      <a:avLst/>
                    </a:prstGeom>
                    <a:ln/>
                  </pic:spPr>
                </pic:pic>
              </a:graphicData>
            </a:graphic>
          </wp:inline>
        </w:drawing>
      </w:r>
    </w:p>
    <w:p w14:paraId="470DC17E" w14:textId="77777777" w:rsidR="00EE61EA" w:rsidRDefault="00EE61EA"/>
    <w:p w14:paraId="52C90731" w14:textId="5E2482FD" w:rsidR="00EE61EA" w:rsidRDefault="00504232">
      <w:pPr>
        <w:rPr>
          <w:sz w:val="24"/>
          <w:szCs w:val="24"/>
        </w:rPr>
      </w:pPr>
      <w:r>
        <w:rPr>
          <w:sz w:val="24"/>
          <w:szCs w:val="24"/>
        </w:rPr>
        <w:t xml:space="preserve"> </w:t>
      </w:r>
    </w:p>
    <w:p w14:paraId="107BA93A" w14:textId="77777777" w:rsidR="00504232" w:rsidRPr="00504232" w:rsidRDefault="00504232" w:rsidP="00504232">
      <w:pPr>
        <w:widowControl w:val="0"/>
        <w:pBdr>
          <w:top w:val="nil"/>
          <w:left w:val="nil"/>
          <w:bottom w:val="nil"/>
          <w:right w:val="nil"/>
          <w:between w:val="nil"/>
        </w:pBdr>
        <w:spacing w:before="100" w:line="240" w:lineRule="auto"/>
        <w:ind w:left="169"/>
        <w:rPr>
          <w:rFonts w:ascii="Trebuchet MS" w:eastAsia="Trebuchet MS" w:hAnsi="Trebuchet MS" w:cs="Trebuchet MS"/>
          <w:color w:val="000000"/>
          <w:sz w:val="37"/>
          <w:szCs w:val="37"/>
          <w:lang w:val="en-US"/>
        </w:rPr>
      </w:pPr>
      <w:r w:rsidRPr="00504232">
        <w:rPr>
          <w:rFonts w:ascii="Trebuchet MS" w:eastAsia="Trebuchet MS" w:hAnsi="Trebuchet MS" w:cs="Trebuchet MS"/>
          <w:color w:val="000000"/>
          <w:sz w:val="37"/>
          <w:szCs w:val="37"/>
          <w:lang w:val="en-US"/>
        </w:rPr>
        <w:t>Bud Stage</w:t>
      </w:r>
    </w:p>
    <w:p w14:paraId="7317D814" w14:textId="77777777" w:rsidR="00504232" w:rsidRPr="00504232" w:rsidRDefault="00504232" w:rsidP="00504232">
      <w:pPr>
        <w:widowControl w:val="0"/>
        <w:pBdr>
          <w:top w:val="nil"/>
          <w:left w:val="nil"/>
          <w:bottom w:val="nil"/>
          <w:right w:val="nil"/>
          <w:between w:val="nil"/>
        </w:pBdr>
        <w:spacing w:before="276" w:line="391" w:lineRule="auto"/>
        <w:ind w:left="173" w:right="329" w:firstLine="18"/>
        <w:rPr>
          <w:rFonts w:ascii="Trebuchet MS" w:eastAsia="Trebuchet MS" w:hAnsi="Trebuchet MS" w:cs="Trebuchet MS"/>
          <w:color w:val="000000"/>
          <w:sz w:val="37"/>
          <w:szCs w:val="37"/>
          <w:lang w:val="en-US"/>
        </w:rPr>
      </w:pPr>
      <w:r w:rsidRPr="00504232">
        <w:rPr>
          <w:rFonts w:ascii="Trebuchet MS" w:eastAsia="Trebuchet MS" w:hAnsi="Trebuchet MS" w:cs="Trebuchet MS"/>
          <w:color w:val="000000"/>
          <w:sz w:val="37"/>
          <w:szCs w:val="37"/>
          <w:lang w:val="en-US"/>
        </w:rPr>
        <w:lastRenderedPageBreak/>
        <w:t>The epithelium of the dental laminae is separated from the underlying ectomesenchyme by a basement membrane, round or ovoid swellings arise from the basement membrane at 10 different points, corresponding to the future positions of the deciduous teeth. These are the primordia of the enamel organs, the tooth buds.</w:t>
      </w:r>
    </w:p>
    <w:p w14:paraId="0525BA9F" w14:textId="0F30B998" w:rsidR="00EE61EA" w:rsidRDefault="00EE61EA">
      <w:pPr>
        <w:jc w:val="center"/>
      </w:pPr>
    </w:p>
    <w:p w14:paraId="1082FA5D" w14:textId="3754593A" w:rsidR="00EE61EA" w:rsidRDefault="00504232">
      <w:pPr>
        <w:jc w:val="center"/>
        <w:rPr>
          <w:b/>
          <w:sz w:val="24"/>
          <w:szCs w:val="24"/>
        </w:rPr>
      </w:pPr>
      <w:r>
        <w:rPr>
          <w:b/>
          <w:sz w:val="24"/>
          <w:szCs w:val="24"/>
        </w:rPr>
        <w:t xml:space="preserve"> </w:t>
      </w:r>
      <w:r>
        <w:rPr>
          <w:noProof/>
          <w:sz w:val="20"/>
          <w:szCs w:val="20"/>
        </w:rPr>
        <w:drawing>
          <wp:inline distT="114300" distB="114300" distL="114300" distR="114300" wp14:anchorId="39EFCEFA" wp14:editId="17F44AEF">
            <wp:extent cx="5733415" cy="2636591"/>
            <wp:effectExtent l="0" t="0" r="635" b="0"/>
            <wp:docPr id="2022320796" name="Picture 2022320796"/>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733415" cy="2636591"/>
                    </a:xfrm>
                    <a:prstGeom prst="rect">
                      <a:avLst/>
                    </a:prstGeom>
                    <a:ln/>
                  </pic:spPr>
                </pic:pic>
              </a:graphicData>
            </a:graphic>
          </wp:inline>
        </w:drawing>
      </w:r>
    </w:p>
    <w:p w14:paraId="71A26FF1" w14:textId="77777777" w:rsidR="00504232" w:rsidRPr="00504232" w:rsidRDefault="00504232" w:rsidP="00504232">
      <w:pPr>
        <w:widowControl w:val="0"/>
        <w:spacing w:before="100" w:line="297" w:lineRule="auto"/>
        <w:ind w:left="169" w:hanging="8"/>
        <w:rPr>
          <w:rFonts w:ascii="Trebuchet MS" w:eastAsia="Trebuchet MS" w:hAnsi="Trebuchet MS" w:cs="Trebuchet MS"/>
          <w:sz w:val="38"/>
          <w:szCs w:val="38"/>
          <w:lang w:val="en-US"/>
        </w:rPr>
      </w:pPr>
      <w:r w:rsidRPr="00504232">
        <w:rPr>
          <w:rFonts w:ascii="Trebuchet MS" w:eastAsia="Trebuchet MS" w:hAnsi="Trebuchet MS" w:cs="Trebuchet MS"/>
          <w:sz w:val="38"/>
          <w:szCs w:val="38"/>
          <w:lang w:val="en-US"/>
        </w:rPr>
        <w:t xml:space="preserve">In the bud stage, the enamel organ consists of peripherally </w:t>
      </w:r>
      <w:r w:rsidRPr="00504232">
        <w:rPr>
          <w:rFonts w:ascii="Trebuchet MS" w:eastAsia="Trebuchet MS" w:hAnsi="Trebuchet MS" w:cs="Trebuchet MS"/>
          <w:sz w:val="37"/>
          <w:szCs w:val="37"/>
          <w:lang w:val="en-US"/>
        </w:rPr>
        <w:t xml:space="preserve">located low columnar cells and centrally located polygonal cells. Many cells of the tooth bud and the surrounding mesenchyme undergo mitosis. As a result of the increased mitotic activity and the migration of neural crest cells into the </w:t>
      </w:r>
      <w:r w:rsidRPr="00504232">
        <w:rPr>
          <w:rFonts w:ascii="Trebuchet MS" w:eastAsia="Trebuchet MS" w:hAnsi="Trebuchet MS" w:cs="Trebuchet MS"/>
          <w:sz w:val="38"/>
          <w:szCs w:val="38"/>
          <w:lang w:val="en-US"/>
        </w:rPr>
        <w:t xml:space="preserve">area ,the ectomesenchymal cells surrounding the tooth </w:t>
      </w:r>
      <w:r w:rsidRPr="00504232">
        <w:rPr>
          <w:rFonts w:ascii="Trebuchet MS" w:eastAsia="Trebuchet MS" w:hAnsi="Trebuchet MS" w:cs="Trebuchet MS"/>
          <w:sz w:val="38"/>
          <w:szCs w:val="38"/>
          <w:lang w:val="en-US"/>
        </w:rPr>
        <w:lastRenderedPageBreak/>
        <w:t xml:space="preserve">bud </w:t>
      </w:r>
      <w:r w:rsidRPr="00504232">
        <w:rPr>
          <w:rFonts w:ascii="Trebuchet MS" w:eastAsia="Trebuchet MS" w:hAnsi="Trebuchet MS" w:cs="Trebuchet MS"/>
          <w:sz w:val="37"/>
          <w:szCs w:val="37"/>
          <w:lang w:val="en-US"/>
        </w:rPr>
        <w:t xml:space="preserve">condense. The area of ectamesenchymal condensation </w:t>
      </w:r>
      <w:r w:rsidRPr="00504232">
        <w:rPr>
          <w:rFonts w:ascii="Trebuchet MS" w:eastAsia="Trebuchet MS" w:hAnsi="Trebuchet MS" w:cs="Trebuchet MS"/>
          <w:sz w:val="38"/>
          <w:szCs w:val="38"/>
          <w:lang w:val="en-US"/>
        </w:rPr>
        <w:t xml:space="preserve">immediately subjacent to the enamel organ is the dental </w:t>
      </w:r>
      <w:r w:rsidRPr="00504232">
        <w:rPr>
          <w:rFonts w:ascii="Trebuchet MS" w:eastAsia="Trebuchet MS" w:hAnsi="Trebuchet MS" w:cs="Trebuchet MS"/>
          <w:sz w:val="37"/>
          <w:szCs w:val="37"/>
          <w:lang w:val="en-US"/>
        </w:rPr>
        <w:t xml:space="preserve">papilla. The condensed ectomesenchyme that surrounds the </w:t>
      </w:r>
      <w:r w:rsidRPr="00504232">
        <w:rPr>
          <w:rFonts w:ascii="Trebuchet MS" w:eastAsia="Trebuchet MS" w:hAnsi="Trebuchet MS" w:cs="Trebuchet MS"/>
          <w:sz w:val="38"/>
          <w:szCs w:val="38"/>
          <w:lang w:val="en-US"/>
        </w:rPr>
        <w:t>tooth bud and the dental papilla is the dental sac.</w:t>
      </w:r>
    </w:p>
    <w:p w14:paraId="328A555F" w14:textId="1102C4CB" w:rsidR="00504232" w:rsidRDefault="00504232">
      <w:pPr>
        <w:jc w:val="center"/>
      </w:pPr>
      <w:r>
        <w:rPr>
          <w:noProof/>
          <w:sz w:val="20"/>
          <w:szCs w:val="20"/>
        </w:rPr>
        <w:drawing>
          <wp:inline distT="114300" distB="114300" distL="114300" distR="114300" wp14:anchorId="32444EBA" wp14:editId="273A6A8A">
            <wp:extent cx="5733415" cy="2505962"/>
            <wp:effectExtent l="0" t="0" r="635" b="889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733415" cy="2505962"/>
                    </a:xfrm>
                    <a:prstGeom prst="rect">
                      <a:avLst/>
                    </a:prstGeom>
                    <a:ln/>
                  </pic:spPr>
                </pic:pic>
              </a:graphicData>
            </a:graphic>
          </wp:inline>
        </w:drawing>
      </w:r>
    </w:p>
    <w:sectPr w:rsidR="0050423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1EA"/>
    <w:rsid w:val="00504232"/>
    <w:rsid w:val="00EE61E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49B70"/>
  <w15:docId w15:val="{FFF16564-76D6-4BA1-92C5-B7FA2C48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232"/>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jpg"/><Relationship Id="rId10" Type="http://schemas.openxmlformats.org/officeDocument/2006/relationships/image" Target="media/image7.png"/><Relationship Id="rId4" Type="http://schemas.openxmlformats.org/officeDocument/2006/relationships/image" Target="media/image1.jp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385</Words>
  <Characters>2199</Characters>
  <Application>Microsoft Office Word</Application>
  <DocSecurity>0</DocSecurity>
  <Lines>18</Lines>
  <Paragraphs>5</Paragraphs>
  <ScaleCrop>false</ScaleCrop>
  <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ayadabdali.alshamma</cp:lastModifiedBy>
  <cp:revision>3</cp:revision>
  <dcterms:created xsi:type="dcterms:W3CDTF">2023-10-13T12:22:00Z</dcterms:created>
  <dcterms:modified xsi:type="dcterms:W3CDTF">2023-10-13T12:37:00Z</dcterms:modified>
</cp:coreProperties>
</file>