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sz w:val="28"/>
          <w:szCs w:val="28"/>
        </w:rPr>
      </w:pPr>
      <w:r w:rsidDel="00000000" w:rsidR="00000000" w:rsidRPr="00000000">
        <w:rPr>
          <w:rtl w:val="0"/>
        </w:rPr>
      </w:r>
    </w:p>
    <w:p w:rsidR="00000000" w:rsidDel="00000000" w:rsidP="00000000" w:rsidRDefault="00000000" w:rsidRPr="00000000" w14:paraId="00000002">
      <w:pPr>
        <w:rPr>
          <w:sz w:val="28"/>
          <w:szCs w:val="28"/>
        </w:rPr>
      </w:pPr>
      <w:r w:rsidDel="00000000" w:rsidR="00000000" w:rsidRPr="00000000">
        <w:rPr>
          <w:sz w:val="28"/>
          <w:szCs w:val="28"/>
        </w:rPr>
        <w:drawing>
          <wp:inline distB="114300" distT="114300" distL="114300" distR="114300">
            <wp:extent cx="1936971" cy="2078208"/>
            <wp:effectExtent b="0" l="0" r="0" t="0"/>
            <wp:docPr id="2" name="image5.jpg"/>
            <a:graphic>
              <a:graphicData uri="http://schemas.openxmlformats.org/drawingml/2006/picture">
                <pic:pic>
                  <pic:nvPicPr>
                    <pic:cNvPr id="0" name="image5.jpg"/>
                    <pic:cNvPicPr preferRelativeResize="0"/>
                  </pic:nvPicPr>
                  <pic:blipFill>
                    <a:blip r:embed="rId6"/>
                    <a:srcRect b="0" l="0" r="0" t="0"/>
                    <a:stretch>
                      <a:fillRect/>
                    </a:stretch>
                  </pic:blipFill>
                  <pic:spPr>
                    <a:xfrm>
                      <a:off x="0" y="0"/>
                      <a:ext cx="1936971" cy="2078208"/>
                    </a:xfrm>
                    <a:prstGeom prst="rect"/>
                    <a:ln/>
                  </pic:spPr>
                </pic:pic>
              </a:graphicData>
            </a:graphic>
          </wp:inline>
        </w:drawing>
      </w:r>
      <w:r w:rsidDel="00000000" w:rsidR="00000000" w:rsidRPr="00000000">
        <w:rPr>
          <w:sz w:val="28"/>
          <w:szCs w:val="28"/>
          <w:rtl w:val="0"/>
        </w:rPr>
        <w:t xml:space="preserve">                           </w:t>
      </w:r>
      <w:r w:rsidDel="00000000" w:rsidR="00000000" w:rsidRPr="00000000">
        <w:rPr>
          <w:sz w:val="28"/>
          <w:szCs w:val="28"/>
        </w:rPr>
        <w:drawing>
          <wp:inline distB="114300" distT="114300" distL="114300" distR="114300">
            <wp:extent cx="2191391" cy="2303292"/>
            <wp:effectExtent b="0" l="0" r="0" t="0"/>
            <wp:docPr id="1"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2191391" cy="2303292"/>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jc w:val="center"/>
        <w:rPr>
          <w:sz w:val="28"/>
          <w:szCs w:val="28"/>
        </w:rPr>
      </w:pPr>
      <w:r w:rsidDel="00000000" w:rsidR="00000000" w:rsidRPr="00000000">
        <w:rPr>
          <w:rtl w:val="0"/>
        </w:rPr>
      </w:r>
    </w:p>
    <w:p w:rsidR="00000000" w:rsidDel="00000000" w:rsidP="00000000" w:rsidRDefault="00000000" w:rsidRPr="00000000" w14:paraId="00000004">
      <w:pPr>
        <w:jc w:val="center"/>
        <w:rPr>
          <w:sz w:val="28"/>
          <w:szCs w:val="28"/>
        </w:rPr>
      </w:pPr>
      <w:r w:rsidDel="00000000" w:rsidR="00000000" w:rsidRPr="00000000">
        <w:rPr>
          <w:rtl w:val="0"/>
        </w:rPr>
      </w:r>
    </w:p>
    <w:p w:rsidR="00000000" w:rsidDel="00000000" w:rsidP="00000000" w:rsidRDefault="00000000" w:rsidRPr="00000000" w14:paraId="00000005">
      <w:pPr>
        <w:jc w:val="center"/>
        <w:rPr>
          <w:sz w:val="60"/>
          <w:szCs w:val="60"/>
        </w:rPr>
      </w:pPr>
      <w:r w:rsidDel="00000000" w:rsidR="00000000" w:rsidRPr="00000000">
        <w:rPr>
          <w:sz w:val="60"/>
          <w:szCs w:val="60"/>
          <w:rtl w:val="0"/>
        </w:rPr>
        <w:t xml:space="preserve">Oral Histology</w:t>
      </w:r>
    </w:p>
    <w:p w:rsidR="00000000" w:rsidDel="00000000" w:rsidP="00000000" w:rsidRDefault="00000000" w:rsidRPr="00000000" w14:paraId="00000006">
      <w:pPr>
        <w:jc w:val="center"/>
        <w:rPr>
          <w:sz w:val="28"/>
          <w:szCs w:val="28"/>
        </w:rPr>
      </w:pPr>
      <w:r w:rsidDel="00000000" w:rsidR="00000000" w:rsidRPr="00000000">
        <w:rPr>
          <w:rtl w:val="0"/>
        </w:rPr>
      </w:r>
    </w:p>
    <w:p w:rsidR="00000000" w:rsidDel="00000000" w:rsidP="00000000" w:rsidRDefault="00000000" w:rsidRPr="00000000" w14:paraId="00000007">
      <w:pPr>
        <w:jc w:val="center"/>
        <w:rPr>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8">
      <w:pPr>
        <w:jc w:val="center"/>
        <w:rPr>
          <w:sz w:val="60"/>
          <w:szCs w:val="60"/>
        </w:rPr>
      </w:pPr>
      <w:r w:rsidDel="00000000" w:rsidR="00000000" w:rsidRPr="00000000">
        <w:rPr>
          <w:b w:val="1"/>
          <w:sz w:val="60"/>
          <w:szCs w:val="60"/>
          <w:rtl w:val="0"/>
        </w:rPr>
        <w:t xml:space="preserve">DEVELOPMENT OF ORAL CAVITY</w:t>
      </w:r>
      <w:r w:rsidDel="00000000" w:rsidR="00000000" w:rsidRPr="00000000">
        <w:rPr>
          <w:sz w:val="60"/>
          <w:szCs w:val="60"/>
          <w:rtl w:val="0"/>
        </w:rPr>
        <w:t xml:space="preserve"> </w:t>
      </w:r>
    </w:p>
    <w:p w:rsidR="00000000" w:rsidDel="00000000" w:rsidP="00000000" w:rsidRDefault="00000000" w:rsidRPr="00000000" w14:paraId="00000009">
      <w:pPr>
        <w:jc w:val="center"/>
        <w:rPr>
          <w:sz w:val="28"/>
          <w:szCs w:val="28"/>
        </w:rPr>
      </w:pPr>
      <w:r w:rsidDel="00000000" w:rsidR="00000000" w:rsidRPr="00000000">
        <w:rPr>
          <w:rtl w:val="0"/>
        </w:rPr>
      </w:r>
    </w:p>
    <w:p w:rsidR="00000000" w:rsidDel="00000000" w:rsidP="00000000" w:rsidRDefault="00000000" w:rsidRPr="00000000" w14:paraId="0000000A">
      <w:pPr>
        <w:jc w:val="center"/>
        <w:rPr>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B">
      <w:pPr>
        <w:jc w:val="center"/>
        <w:rPr>
          <w:sz w:val="48"/>
          <w:szCs w:val="48"/>
        </w:rPr>
      </w:pPr>
      <w:r w:rsidDel="00000000" w:rsidR="00000000" w:rsidRPr="00000000">
        <w:rPr>
          <w:sz w:val="48"/>
          <w:szCs w:val="48"/>
          <w:rtl w:val="0"/>
        </w:rPr>
        <w:t xml:space="preserve">Lecture 3</w:t>
      </w:r>
    </w:p>
    <w:p w:rsidR="00000000" w:rsidDel="00000000" w:rsidP="00000000" w:rsidRDefault="00000000" w:rsidRPr="00000000" w14:paraId="0000000C">
      <w:pPr>
        <w:jc w:val="center"/>
        <w:rPr>
          <w:sz w:val="48"/>
          <w:szCs w:val="48"/>
        </w:rPr>
      </w:pPr>
      <w:r w:rsidDel="00000000" w:rsidR="00000000" w:rsidRPr="00000000">
        <w:rPr>
          <w:rtl w:val="0"/>
        </w:rPr>
      </w:r>
    </w:p>
    <w:p w:rsidR="00000000" w:rsidDel="00000000" w:rsidP="00000000" w:rsidRDefault="00000000" w:rsidRPr="00000000" w14:paraId="0000000D">
      <w:pPr>
        <w:jc w:val="center"/>
        <w:rPr>
          <w:sz w:val="48"/>
          <w:szCs w:val="48"/>
        </w:rPr>
      </w:pPr>
      <w:r w:rsidDel="00000000" w:rsidR="00000000" w:rsidRPr="00000000">
        <w:rPr>
          <w:sz w:val="48"/>
          <w:szCs w:val="48"/>
          <w:rtl w:val="0"/>
        </w:rPr>
        <w:t xml:space="preserve">Prof. </w:t>
      </w:r>
      <w:r w:rsidDel="00000000" w:rsidR="00000000" w:rsidRPr="00000000">
        <w:rPr>
          <w:sz w:val="48"/>
          <w:szCs w:val="48"/>
          <w:rtl w:val="0"/>
        </w:rPr>
        <w:t xml:space="preserve">Dr. Muna Merza</w:t>
      </w:r>
    </w:p>
    <w:p w:rsidR="00000000" w:rsidDel="00000000" w:rsidP="00000000" w:rsidRDefault="00000000" w:rsidRPr="00000000" w14:paraId="0000000E">
      <w:pPr>
        <w:jc w:val="center"/>
        <w:rPr>
          <w:sz w:val="48"/>
          <w:szCs w:val="48"/>
        </w:rPr>
      </w:pPr>
      <w:r w:rsidDel="00000000" w:rsidR="00000000" w:rsidRPr="00000000">
        <w:rPr>
          <w:rtl w:val="0"/>
        </w:rPr>
      </w:r>
    </w:p>
    <w:p w:rsidR="00000000" w:rsidDel="00000000" w:rsidP="00000000" w:rsidRDefault="00000000" w:rsidRPr="00000000" w14:paraId="0000000F">
      <w:pPr>
        <w:jc w:val="center"/>
        <w:rPr>
          <w:sz w:val="48"/>
          <w:szCs w:val="48"/>
        </w:rPr>
      </w:pPr>
      <w:r w:rsidDel="00000000" w:rsidR="00000000" w:rsidRPr="00000000">
        <w:rPr>
          <w:rtl w:val="0"/>
        </w:rPr>
      </w:r>
    </w:p>
    <w:p w:rsidR="00000000" w:rsidDel="00000000" w:rsidP="00000000" w:rsidRDefault="00000000" w:rsidRPr="00000000" w14:paraId="00000010">
      <w:pPr>
        <w:jc w:val="center"/>
        <w:rPr>
          <w:sz w:val="48"/>
          <w:szCs w:val="48"/>
        </w:rPr>
      </w:pPr>
      <w:r w:rsidDel="00000000" w:rsidR="00000000" w:rsidRPr="00000000">
        <w:rPr>
          <w:rtl w:val="0"/>
        </w:rPr>
      </w:r>
    </w:p>
    <w:p w:rsidR="00000000" w:rsidDel="00000000" w:rsidP="00000000" w:rsidRDefault="00000000" w:rsidRPr="00000000" w14:paraId="00000011">
      <w:pPr>
        <w:jc w:val="center"/>
        <w:rPr>
          <w:sz w:val="48"/>
          <w:szCs w:val="48"/>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sz w:val="24"/>
          <w:szCs w:val="24"/>
        </w:rPr>
      </w:pPr>
      <w:r w:rsidDel="00000000" w:rsidR="00000000" w:rsidRPr="00000000">
        <w:rPr>
          <w:sz w:val="24"/>
          <w:szCs w:val="24"/>
          <w:rtl w:val="0"/>
        </w:rPr>
        <w:t xml:space="preserve">Face and structures of the oral cavity begin development early in the embryonic period. ALL three embryonic layers are involved in facial development (layers are discussed earlier). Depending on five facial processes (prominences) that form during fourth week and surround stomodeum (primitive mouth):</w:t>
      </w:r>
    </w:p>
    <w:p w:rsidR="00000000" w:rsidDel="00000000" w:rsidP="00000000" w:rsidRDefault="00000000" w:rsidRPr="00000000" w14:paraId="00000015">
      <w:pPr>
        <w:rPr>
          <w:sz w:val="24"/>
          <w:szCs w:val="24"/>
        </w:rPr>
      </w:pPr>
      <w:r w:rsidDel="00000000" w:rsidR="00000000" w:rsidRPr="00000000">
        <w:rPr>
          <w:sz w:val="24"/>
          <w:szCs w:val="24"/>
          <w:rtl w:val="0"/>
        </w:rPr>
        <w:t xml:space="preserve">1) single frontonasal process.</w:t>
      </w:r>
    </w:p>
    <w:p w:rsidR="00000000" w:rsidDel="00000000" w:rsidP="00000000" w:rsidRDefault="00000000" w:rsidRPr="00000000" w14:paraId="00000016">
      <w:pPr>
        <w:rPr>
          <w:sz w:val="24"/>
          <w:szCs w:val="24"/>
        </w:rPr>
      </w:pPr>
      <w:r w:rsidDel="00000000" w:rsidR="00000000" w:rsidRPr="00000000">
        <w:rPr>
          <w:sz w:val="24"/>
          <w:szCs w:val="24"/>
          <w:rtl w:val="0"/>
        </w:rPr>
        <w:t xml:space="preserve">(2 and 3) paired maxillary processes.</w:t>
      </w:r>
    </w:p>
    <w:p w:rsidR="00000000" w:rsidDel="00000000" w:rsidP="00000000" w:rsidRDefault="00000000" w:rsidRPr="00000000" w14:paraId="00000017">
      <w:pPr>
        <w:rPr>
          <w:sz w:val="24"/>
          <w:szCs w:val="24"/>
        </w:rPr>
      </w:pPr>
      <w:r w:rsidDel="00000000" w:rsidR="00000000" w:rsidRPr="00000000">
        <w:rPr>
          <w:sz w:val="24"/>
          <w:szCs w:val="24"/>
          <w:rtl w:val="0"/>
        </w:rPr>
        <w:t xml:space="preserve">(and 5) paired mandibular processes.</w:t>
      </w:r>
    </w:p>
    <w:p w:rsidR="00000000" w:rsidDel="00000000" w:rsidP="00000000" w:rsidRDefault="00000000" w:rsidRPr="00000000" w14:paraId="00000018">
      <w:pPr>
        <w:rPr>
          <w:sz w:val="24"/>
          <w:szCs w:val="24"/>
        </w:rPr>
      </w:pPr>
      <w:r w:rsidDel="00000000" w:rsidR="00000000" w:rsidRPr="00000000">
        <w:rPr>
          <w:sz w:val="24"/>
          <w:szCs w:val="24"/>
          <w:rtl w:val="0"/>
        </w:rPr>
        <w:t xml:space="preserve">In the future, the stomodeum will form the oral cavity.</w:t>
      </w:r>
    </w:p>
    <w:p w:rsidR="00000000" w:rsidDel="00000000" w:rsidP="00000000" w:rsidRDefault="00000000" w:rsidRPr="00000000" w14:paraId="00000019">
      <w:pPr>
        <w:jc w:val="center"/>
        <w:rPr/>
      </w:pPr>
      <w:r w:rsidDel="00000000" w:rsidR="00000000" w:rsidRPr="00000000">
        <w:rPr/>
        <w:drawing>
          <wp:inline distB="114300" distT="114300" distL="114300" distR="114300">
            <wp:extent cx="2473163" cy="1373979"/>
            <wp:effectExtent b="0" l="0" r="0" t="0"/>
            <wp:docPr id="3"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2473163" cy="1373979"/>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jc w:val="cente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sz w:val="24"/>
          <w:szCs w:val="24"/>
        </w:rPr>
      </w:pPr>
      <w:r w:rsidDel="00000000" w:rsidR="00000000" w:rsidRPr="00000000">
        <w:rPr>
          <w:sz w:val="24"/>
          <w:szCs w:val="24"/>
          <w:rtl w:val="0"/>
        </w:rPr>
        <w:t xml:space="preserve">Facial processes are centres of growth for the face, If an adult's face is divided into thirds, these portions roughly correspond to centres of facial growth:</w:t>
      </w:r>
    </w:p>
    <w:p w:rsidR="00000000" w:rsidDel="00000000" w:rsidP="00000000" w:rsidRDefault="00000000" w:rsidRPr="00000000" w14:paraId="0000001D">
      <w:pPr>
        <w:rPr>
          <w:sz w:val="24"/>
          <w:szCs w:val="24"/>
        </w:rPr>
      </w:pPr>
      <w:r w:rsidDel="00000000" w:rsidR="00000000" w:rsidRPr="00000000">
        <w:rPr>
          <w:rtl w:val="0"/>
        </w:rPr>
      </w:r>
    </w:p>
    <w:p w:rsidR="00000000" w:rsidDel="00000000" w:rsidP="00000000" w:rsidRDefault="00000000" w:rsidRPr="00000000" w14:paraId="0000001E">
      <w:pPr>
        <w:rPr>
          <w:sz w:val="24"/>
          <w:szCs w:val="24"/>
        </w:rPr>
      </w:pPr>
      <w:r w:rsidDel="00000000" w:rsidR="00000000" w:rsidRPr="00000000">
        <w:rPr>
          <w:sz w:val="24"/>
          <w:szCs w:val="24"/>
          <w:rtl w:val="0"/>
        </w:rPr>
        <w:t xml:space="preserve">a. Upper face: from the frontonasal process. </w:t>
      </w:r>
    </w:p>
    <w:p w:rsidR="00000000" w:rsidDel="00000000" w:rsidP="00000000" w:rsidRDefault="00000000" w:rsidRPr="00000000" w14:paraId="0000001F">
      <w:pPr>
        <w:rPr>
          <w:sz w:val="24"/>
          <w:szCs w:val="24"/>
        </w:rPr>
      </w:pPr>
      <w:r w:rsidDel="00000000" w:rsidR="00000000" w:rsidRPr="00000000">
        <w:rPr>
          <w:sz w:val="24"/>
          <w:szCs w:val="24"/>
          <w:rtl w:val="0"/>
        </w:rPr>
        <w:t xml:space="preserve">b. Middle face (midface): from maxillary processes.</w:t>
      </w:r>
    </w:p>
    <w:p w:rsidR="00000000" w:rsidDel="00000000" w:rsidP="00000000" w:rsidRDefault="00000000" w:rsidRPr="00000000" w14:paraId="00000020">
      <w:pPr>
        <w:rPr>
          <w:sz w:val="24"/>
          <w:szCs w:val="24"/>
        </w:rPr>
      </w:pPr>
      <w:r w:rsidDel="00000000" w:rsidR="00000000" w:rsidRPr="00000000">
        <w:rPr>
          <w:sz w:val="24"/>
          <w:szCs w:val="24"/>
          <w:rtl w:val="0"/>
        </w:rPr>
        <w:t xml:space="preserve">c. Lower face: from mandibular processes</w:t>
      </w:r>
    </w:p>
    <w:p w:rsidR="00000000" w:rsidDel="00000000" w:rsidP="00000000" w:rsidRDefault="00000000" w:rsidRPr="00000000" w14:paraId="00000021">
      <w:pPr>
        <w:rPr>
          <w:sz w:val="24"/>
          <w:szCs w:val="24"/>
        </w:rPr>
      </w:pPr>
      <w:r w:rsidDel="00000000" w:rsidR="00000000" w:rsidRPr="00000000">
        <w:rPr>
          <w:rtl w:val="0"/>
        </w:rPr>
      </w:r>
    </w:p>
    <w:p w:rsidR="00000000" w:rsidDel="00000000" w:rsidP="00000000" w:rsidRDefault="00000000" w:rsidRPr="00000000" w14:paraId="00000022">
      <w:pPr>
        <w:rPr>
          <w:sz w:val="24"/>
          <w:szCs w:val="24"/>
        </w:rPr>
      </w:pPr>
      <w:r w:rsidDel="00000000" w:rsidR="00000000" w:rsidRPr="00000000">
        <w:rPr>
          <w:sz w:val="24"/>
          <w:szCs w:val="24"/>
          <w:rtl w:val="0"/>
        </w:rPr>
        <w:t xml:space="preserve">Stomodeum and Oral Cavity Formation Before fourth week, stomodeum initially appears as a shallow depression in embryonic surface ectoderm at cephalic end, limited depth. Stomodeum is increased in depth, enlarging it to become oral cavity and lined by oral epithelium, which is derived from ectoderm, as a result of embryonic folding</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jc w:val="center"/>
        <w:rPr/>
      </w:pPr>
      <w:r w:rsidDel="00000000" w:rsidR="00000000" w:rsidRPr="00000000">
        <w:rPr/>
        <w:drawing>
          <wp:inline distB="114300" distT="114300" distL="114300" distR="114300">
            <wp:extent cx="2672635" cy="2071688"/>
            <wp:effectExtent b="0" l="0" r="0" t="0"/>
            <wp:docPr id="5"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2672635" cy="2071688"/>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jc w:val="center"/>
        <w:rPr/>
      </w:pPr>
      <w:r w:rsidDel="00000000" w:rsidR="00000000" w:rsidRPr="00000000">
        <w:rPr>
          <w:rtl w:val="0"/>
        </w:rPr>
      </w:r>
    </w:p>
    <w:p w:rsidR="00000000" w:rsidDel="00000000" w:rsidP="00000000" w:rsidRDefault="00000000" w:rsidRPr="00000000" w14:paraId="00000026">
      <w:pPr>
        <w:jc w:val="center"/>
        <w:rPr/>
      </w:pPr>
      <w:r w:rsidDel="00000000" w:rsidR="00000000" w:rsidRPr="00000000">
        <w:rPr>
          <w:rtl w:val="0"/>
        </w:rPr>
      </w:r>
    </w:p>
    <w:p w:rsidR="00000000" w:rsidDel="00000000" w:rsidP="00000000" w:rsidRDefault="00000000" w:rsidRPr="00000000" w14:paraId="00000027">
      <w:pPr>
        <w:rPr>
          <w:sz w:val="24"/>
          <w:szCs w:val="24"/>
        </w:rPr>
      </w:pPr>
      <w:r w:rsidDel="00000000" w:rsidR="00000000" w:rsidRPr="00000000">
        <w:rPr>
          <w:sz w:val="24"/>
          <w:szCs w:val="24"/>
          <w:rtl w:val="0"/>
        </w:rPr>
        <w:t xml:space="preserve">Oropharyngeal membrane disintegrates so that the stomodeum becomes deeper and gradually forms the oral cavity. Now there is access by way of stomodeum from internal primitive pharynx to outside fluids of the amniotic cavity surrounding the embryo.</w:t>
      </w:r>
    </w:p>
    <w:p w:rsidR="00000000" w:rsidDel="00000000" w:rsidP="00000000" w:rsidRDefault="00000000" w:rsidRPr="00000000" w14:paraId="00000028">
      <w:pPr>
        <w:rPr>
          <w:sz w:val="24"/>
          <w:szCs w:val="24"/>
        </w:rPr>
      </w:pPr>
      <w:r w:rsidDel="00000000" w:rsidR="00000000" w:rsidRPr="00000000">
        <w:rPr>
          <w:sz w:val="24"/>
          <w:szCs w:val="24"/>
          <w:rtl w:val="0"/>
        </w:rPr>
        <w:t xml:space="preserve">Oral epithelium and underlying tissues will form teeth and associated tissues.</w:t>
      </w:r>
    </w:p>
    <w:p w:rsidR="00000000" w:rsidDel="00000000" w:rsidP="00000000" w:rsidRDefault="00000000" w:rsidRPr="00000000" w14:paraId="00000029">
      <w:pPr>
        <w:rPr>
          <w:sz w:val="24"/>
          <w:szCs w:val="24"/>
        </w:rPr>
      </w:pPr>
      <w:r w:rsidDel="00000000" w:rsidR="00000000" w:rsidRPr="00000000">
        <w:rPr>
          <w:rtl w:val="0"/>
        </w:rPr>
      </w:r>
    </w:p>
    <w:p w:rsidR="00000000" w:rsidDel="00000000" w:rsidP="00000000" w:rsidRDefault="00000000" w:rsidRPr="00000000" w14:paraId="0000002A">
      <w:pPr>
        <w:rPr>
          <w:sz w:val="24"/>
          <w:szCs w:val="24"/>
        </w:rPr>
      </w:pPr>
      <w:r w:rsidDel="00000000" w:rsidR="00000000" w:rsidRPr="00000000">
        <w:rPr>
          <w:sz w:val="24"/>
          <w:szCs w:val="24"/>
          <w:rtl w:val="0"/>
        </w:rPr>
        <w:t xml:space="preserve">Mandibular Arch and Lower Face Formation During fourth week, two bulges of tissue appear inferior to stomodeum; these paired mandibular processes are formed in part by neural crest cells that migrated to the facial region, covered externally by ectoderm and internally by endoderm, Paired mandibular processes BOTH fuse at midline to form the mandibular arch.</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jc w:val="center"/>
        <w:rPr/>
      </w:pPr>
      <w:r w:rsidDel="00000000" w:rsidR="00000000" w:rsidRPr="00000000">
        <w:rPr/>
        <w:drawing>
          <wp:inline distB="114300" distT="114300" distL="114300" distR="114300">
            <wp:extent cx="4626183" cy="3281363"/>
            <wp:effectExtent b="0" l="0" r="0" t="0"/>
            <wp:docPr id="4"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4626183" cy="3281363"/>
                    </a:xfrm>
                    <a:prstGeom prst="rect"/>
                    <a:ln/>
                  </pic:spPr>
                </pic:pic>
              </a:graphicData>
            </a:graphic>
          </wp:inline>
        </w:drawing>
      </w:r>
      <w:r w:rsidDel="00000000" w:rsidR="00000000" w:rsidRPr="00000000">
        <w:rPr>
          <w:rtl w:val="0"/>
        </w:rPr>
      </w:r>
    </w:p>
    <w:p w:rsidR="00000000" w:rsidDel="00000000" w:rsidP="00000000" w:rsidRDefault="00000000" w:rsidRPr="00000000" w14:paraId="0000002D">
      <w:pPr>
        <w:rPr>
          <w:sz w:val="24"/>
          <w:szCs w:val="24"/>
        </w:rPr>
      </w:pPr>
      <w:r w:rsidDel="00000000" w:rsidR="00000000" w:rsidRPr="00000000">
        <w:rPr>
          <w:sz w:val="24"/>
          <w:szCs w:val="24"/>
          <w:rtl w:val="0"/>
        </w:rPr>
        <w:t xml:space="preserve">Mandibular arch and related tissues are first portions of the face to form after creation of stomodeum and directly forms lower face, including lower lip and will also form mandible, mandibular teeth, tissues, as well as tongue.</w:t>
      </w:r>
    </w:p>
    <w:p w:rsidR="00000000" w:rsidDel="00000000" w:rsidP="00000000" w:rsidRDefault="00000000" w:rsidRPr="00000000" w14:paraId="0000002E">
      <w:pPr>
        <w:rPr>
          <w:sz w:val="24"/>
          <w:szCs w:val="24"/>
        </w:rPr>
      </w:pPr>
      <w:r w:rsidDel="00000000" w:rsidR="00000000" w:rsidRPr="00000000">
        <w:rPr>
          <w:sz w:val="24"/>
          <w:szCs w:val="24"/>
          <w:rtl w:val="0"/>
        </w:rPr>
        <w:t xml:space="preserve">Meckel's cartilage forms within each side of mandibular arch, IMPORTANT in:</w:t>
      </w:r>
    </w:p>
    <w:p w:rsidR="00000000" w:rsidDel="00000000" w:rsidP="00000000" w:rsidRDefault="00000000" w:rsidRPr="00000000" w14:paraId="0000002F">
      <w:pPr>
        <w:rPr>
          <w:sz w:val="24"/>
          <w:szCs w:val="24"/>
        </w:rPr>
      </w:pPr>
      <w:r w:rsidDel="00000000" w:rsidR="00000000" w:rsidRPr="00000000">
        <w:rPr>
          <w:rtl w:val="0"/>
        </w:rPr>
      </w:r>
    </w:p>
    <w:p w:rsidR="00000000" w:rsidDel="00000000" w:rsidP="00000000" w:rsidRDefault="00000000" w:rsidRPr="00000000" w14:paraId="00000030">
      <w:pPr>
        <w:numPr>
          <w:ilvl w:val="0"/>
          <w:numId w:val="1"/>
        </w:numPr>
        <w:ind w:left="720" w:hanging="360"/>
        <w:rPr>
          <w:sz w:val="24"/>
          <w:szCs w:val="24"/>
        </w:rPr>
      </w:pPr>
      <w:r w:rsidDel="00000000" w:rsidR="00000000" w:rsidRPr="00000000">
        <w:rPr>
          <w:sz w:val="24"/>
          <w:szCs w:val="24"/>
          <w:rtl w:val="0"/>
        </w:rPr>
        <w:t xml:space="preserve"> Alveolar bone development.</w:t>
      </w:r>
    </w:p>
    <w:p w:rsidR="00000000" w:rsidDel="00000000" w:rsidP="00000000" w:rsidRDefault="00000000" w:rsidRPr="00000000" w14:paraId="00000031">
      <w:pPr>
        <w:numPr>
          <w:ilvl w:val="0"/>
          <w:numId w:val="1"/>
        </w:numPr>
        <w:ind w:left="720" w:hanging="360"/>
        <w:rPr>
          <w:sz w:val="24"/>
          <w:szCs w:val="24"/>
        </w:rPr>
      </w:pPr>
      <w:r w:rsidDel="00000000" w:rsidR="00000000" w:rsidRPr="00000000">
        <w:rPr>
          <w:sz w:val="24"/>
          <w:szCs w:val="24"/>
          <w:rtl w:val="0"/>
        </w:rPr>
        <w:t xml:space="preserve">Makes contribution to the mandible, and a portion of cartilage participates in formation of middle ear bones.</w:t>
      </w:r>
    </w:p>
    <w:p w:rsidR="00000000" w:rsidDel="00000000" w:rsidP="00000000" w:rsidRDefault="00000000" w:rsidRPr="00000000" w14:paraId="00000032">
      <w:pPr>
        <w:numPr>
          <w:ilvl w:val="0"/>
          <w:numId w:val="1"/>
        </w:numPr>
        <w:ind w:left="720" w:hanging="360"/>
        <w:rPr>
          <w:sz w:val="24"/>
          <w:szCs w:val="24"/>
        </w:rPr>
      </w:pPr>
      <w:r w:rsidDel="00000000" w:rsidR="00000000" w:rsidRPr="00000000">
        <w:rPr>
          <w:sz w:val="24"/>
          <w:szCs w:val="24"/>
          <w:rtl w:val="0"/>
        </w:rPr>
        <w:t xml:space="preserve">Part of the perichondrium surrounding Meckel's cartilage becomes ligaments of the jaws and middle ear.</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jc w:val="center"/>
        <w:rPr/>
      </w:pPr>
      <w:r w:rsidDel="00000000" w:rsidR="00000000" w:rsidRPr="00000000">
        <w:rPr/>
        <w:drawing>
          <wp:inline distB="114300" distT="114300" distL="114300" distR="114300">
            <wp:extent cx="3175517" cy="1951530"/>
            <wp:effectExtent b="0" l="0" r="0" t="0"/>
            <wp:docPr id="6" name="image6.png"/>
            <a:graphic>
              <a:graphicData uri="http://schemas.openxmlformats.org/drawingml/2006/picture">
                <pic:pic>
                  <pic:nvPicPr>
                    <pic:cNvPr id="0" name="image6.png"/>
                    <pic:cNvPicPr preferRelativeResize="0"/>
                  </pic:nvPicPr>
                  <pic:blipFill>
                    <a:blip r:embed="rId11"/>
                    <a:srcRect b="0" l="0" r="0" t="0"/>
                    <a:stretch>
                      <a:fillRect/>
                    </a:stretch>
                  </pic:blipFill>
                  <pic:spPr>
                    <a:xfrm>
                      <a:off x="0" y="0"/>
                      <a:ext cx="3175517" cy="1951530"/>
                    </a:xfrm>
                    <a:prstGeom prst="rect"/>
                    <a:ln/>
                  </pic:spPr>
                </pic:pic>
              </a:graphicData>
            </a:graphic>
          </wp:inline>
        </w:drawing>
      </w:r>
      <w:r w:rsidDel="00000000" w:rsidR="00000000" w:rsidRPr="00000000">
        <w:rPr>
          <w:rtl w:val="0"/>
        </w:rPr>
      </w:r>
    </w:p>
    <w:p w:rsidR="00000000" w:rsidDel="00000000" w:rsidP="00000000" w:rsidRDefault="00000000" w:rsidRPr="00000000" w14:paraId="00000035">
      <w:pPr>
        <w:jc w:val="cente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sz w:val="24"/>
          <w:szCs w:val="24"/>
        </w:rPr>
      </w:pPr>
      <w:r w:rsidDel="00000000" w:rsidR="00000000" w:rsidRPr="00000000">
        <w:rPr>
          <w:rtl w:val="0"/>
        </w:rPr>
      </w:r>
    </w:p>
    <w:p w:rsidR="00000000" w:rsidDel="00000000" w:rsidP="00000000" w:rsidRDefault="00000000" w:rsidRPr="00000000" w14:paraId="00000038">
      <w:pPr>
        <w:rPr>
          <w:sz w:val="24"/>
          <w:szCs w:val="24"/>
        </w:rPr>
      </w:pPr>
      <w:r w:rsidDel="00000000" w:rsidR="00000000" w:rsidRPr="00000000">
        <w:rPr>
          <w:sz w:val="24"/>
          <w:szCs w:val="24"/>
          <w:rtl w:val="0"/>
        </w:rPr>
        <w:t xml:space="preserve">Mesoderm of the mandibular arch forms muscles of mastication, as well as some palatal muscles and suprahyoid muscles. Because these muscles are derived from mandibular arch, they are innervated by nerve of the first arch, fifth (V) cranial nerve (trigeminal nerve)</w:t>
      </w:r>
    </w:p>
    <w:p w:rsidR="00000000" w:rsidDel="00000000" w:rsidP="00000000" w:rsidRDefault="00000000" w:rsidRPr="00000000" w14:paraId="00000039">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6.png"/><Relationship Id="rId10" Type="http://schemas.openxmlformats.org/officeDocument/2006/relationships/image" Target="media/image4.png"/><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image" Target="media/image5.jpg"/><Relationship Id="rId7" Type="http://schemas.openxmlformats.org/officeDocument/2006/relationships/image" Target="media/image3.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