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AF9059" w14:textId="77777777" w:rsidR="00233EE0" w:rsidRDefault="00233EE0">
      <w:pPr>
        <w:rPr>
          <w:rFonts w:ascii="Playfair Display" w:eastAsia="Playfair Display" w:hAnsi="Playfair Display" w:cs="Playfair Display"/>
          <w:sz w:val="36"/>
          <w:szCs w:val="36"/>
        </w:rPr>
      </w:pPr>
    </w:p>
    <w:p w14:paraId="354188F0" w14:textId="77777777" w:rsidR="00233EE0" w:rsidRDefault="00000000">
      <w:pPr>
        <w:rPr>
          <w:rFonts w:ascii="Playfair Display" w:eastAsia="Playfair Display" w:hAnsi="Playfair Display" w:cs="Playfair Display"/>
          <w:sz w:val="36"/>
          <w:szCs w:val="36"/>
        </w:rPr>
      </w:pPr>
      <w:r>
        <w:rPr>
          <w:rFonts w:ascii="Playfair Display" w:eastAsia="Playfair Display" w:hAnsi="Playfair Display" w:cs="Playfair Display"/>
          <w:noProof/>
          <w:sz w:val="36"/>
          <w:szCs w:val="36"/>
        </w:rPr>
        <w:drawing>
          <wp:inline distT="114300" distB="114300" distL="114300" distR="114300" wp14:anchorId="7F465AC1" wp14:editId="49149C84">
            <wp:extent cx="2007189" cy="2149880"/>
            <wp:effectExtent l="0" t="0" r="0" b="0"/>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6"/>
                    <a:srcRect/>
                    <a:stretch>
                      <a:fillRect/>
                    </a:stretch>
                  </pic:blipFill>
                  <pic:spPr>
                    <a:xfrm>
                      <a:off x="0" y="0"/>
                      <a:ext cx="2007189" cy="2149880"/>
                    </a:xfrm>
                    <a:prstGeom prst="rect">
                      <a:avLst/>
                    </a:prstGeom>
                    <a:ln/>
                  </pic:spPr>
                </pic:pic>
              </a:graphicData>
            </a:graphic>
          </wp:inline>
        </w:drawing>
      </w:r>
      <w:r>
        <w:rPr>
          <w:rFonts w:ascii="Playfair Display" w:eastAsia="Playfair Display" w:hAnsi="Playfair Display" w:cs="Playfair Display"/>
          <w:sz w:val="36"/>
          <w:szCs w:val="36"/>
        </w:rPr>
        <w:t xml:space="preserve">                       </w:t>
      </w:r>
      <w:r>
        <w:rPr>
          <w:rFonts w:ascii="Playfair Display" w:eastAsia="Playfair Display" w:hAnsi="Playfair Display" w:cs="Playfair Display"/>
          <w:noProof/>
          <w:sz w:val="36"/>
          <w:szCs w:val="36"/>
        </w:rPr>
        <w:drawing>
          <wp:inline distT="114300" distB="114300" distL="114300" distR="114300" wp14:anchorId="36C55E47" wp14:editId="4CBE99F7">
            <wp:extent cx="2238375" cy="2352675"/>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2238375" cy="2352675"/>
                    </a:xfrm>
                    <a:prstGeom prst="rect">
                      <a:avLst/>
                    </a:prstGeom>
                    <a:ln/>
                  </pic:spPr>
                </pic:pic>
              </a:graphicData>
            </a:graphic>
          </wp:inline>
        </w:drawing>
      </w:r>
    </w:p>
    <w:p w14:paraId="2E2F3A87" w14:textId="77777777" w:rsidR="00233EE0" w:rsidRDefault="00233EE0">
      <w:pPr>
        <w:rPr>
          <w:rFonts w:ascii="Playfair Display" w:eastAsia="Playfair Display" w:hAnsi="Playfair Display" w:cs="Playfair Display"/>
          <w:sz w:val="36"/>
          <w:szCs w:val="36"/>
        </w:rPr>
      </w:pPr>
    </w:p>
    <w:p w14:paraId="64E510A0" w14:textId="77777777" w:rsidR="00233EE0" w:rsidRDefault="00233EE0">
      <w:pPr>
        <w:rPr>
          <w:rFonts w:ascii="Playfair Display" w:eastAsia="Playfair Display" w:hAnsi="Playfair Display" w:cs="Playfair Display"/>
          <w:sz w:val="36"/>
          <w:szCs w:val="36"/>
        </w:rPr>
      </w:pPr>
    </w:p>
    <w:p w14:paraId="42BBC42F" w14:textId="77777777" w:rsidR="00233EE0" w:rsidRDefault="00233EE0">
      <w:pPr>
        <w:jc w:val="center"/>
        <w:rPr>
          <w:rFonts w:ascii="Playfair Display" w:eastAsia="Playfair Display" w:hAnsi="Playfair Display" w:cs="Playfair Display"/>
          <w:sz w:val="36"/>
          <w:szCs w:val="36"/>
        </w:rPr>
      </w:pPr>
    </w:p>
    <w:p w14:paraId="386214CB" w14:textId="77777777" w:rsidR="00233EE0" w:rsidRDefault="00000000">
      <w:pPr>
        <w:jc w:val="center"/>
        <w:rPr>
          <w:rFonts w:ascii="Playfair Display" w:eastAsia="Playfair Display" w:hAnsi="Playfair Display" w:cs="Playfair Display"/>
          <w:sz w:val="36"/>
          <w:szCs w:val="36"/>
        </w:rPr>
      </w:pPr>
      <w:r>
        <w:pict w14:anchorId="47258035">
          <v:rect id="_x0000_i1025" style="width:0;height:1.5pt" o:hralign="center" o:hrstd="t" o:hr="t" fillcolor="#a0a0a0" stroked="f"/>
        </w:pict>
      </w:r>
    </w:p>
    <w:p w14:paraId="25C481CB" w14:textId="77777777" w:rsidR="00233EE0" w:rsidRDefault="00233EE0">
      <w:pPr>
        <w:jc w:val="center"/>
        <w:rPr>
          <w:rFonts w:ascii="Playfair Display" w:eastAsia="Playfair Display" w:hAnsi="Playfair Display" w:cs="Playfair Display"/>
          <w:sz w:val="36"/>
          <w:szCs w:val="36"/>
        </w:rPr>
      </w:pPr>
    </w:p>
    <w:p w14:paraId="7EB41E9C" w14:textId="0C167CFB" w:rsidR="00233EE0" w:rsidRDefault="00000000">
      <w:pPr>
        <w:jc w:val="center"/>
        <w:rPr>
          <w:rFonts w:ascii="Playfair Display" w:eastAsia="Playfair Display" w:hAnsi="Playfair Display" w:cs="Playfair Display"/>
          <w:sz w:val="36"/>
          <w:szCs w:val="36"/>
        </w:rPr>
      </w:pPr>
      <w:r>
        <w:rPr>
          <w:rFonts w:ascii="Playfair Display" w:eastAsia="Playfair Display" w:hAnsi="Playfair Display" w:cs="Playfair Display"/>
          <w:b/>
          <w:sz w:val="48"/>
          <w:szCs w:val="48"/>
        </w:rPr>
        <w:t xml:space="preserve">Oral </w:t>
      </w:r>
      <w:r w:rsidR="00B35F9C">
        <w:rPr>
          <w:rFonts w:ascii="Playfair Display" w:eastAsia="Playfair Display" w:hAnsi="Playfair Display" w:cs="Playfair Display"/>
          <w:b/>
          <w:sz w:val="48"/>
          <w:szCs w:val="48"/>
        </w:rPr>
        <w:t>Pathology</w:t>
      </w:r>
      <w:r>
        <w:rPr>
          <w:rFonts w:ascii="Playfair Display" w:eastAsia="Playfair Display" w:hAnsi="Playfair Display" w:cs="Playfair Display"/>
          <w:b/>
          <w:sz w:val="48"/>
          <w:szCs w:val="48"/>
        </w:rPr>
        <w:t xml:space="preserve"> </w:t>
      </w:r>
      <w:r>
        <w:rPr>
          <w:rFonts w:ascii="Playfair Display" w:eastAsia="Playfair Display" w:hAnsi="Playfair Display" w:cs="Playfair Display"/>
          <w:sz w:val="36"/>
          <w:szCs w:val="36"/>
        </w:rPr>
        <w:t xml:space="preserve">    </w:t>
      </w:r>
    </w:p>
    <w:p w14:paraId="5F074D04" w14:textId="77777777" w:rsidR="00233EE0" w:rsidRDefault="00233EE0">
      <w:pPr>
        <w:jc w:val="center"/>
        <w:rPr>
          <w:rFonts w:ascii="Playfair Display" w:eastAsia="Playfair Display" w:hAnsi="Playfair Display" w:cs="Playfair Display"/>
          <w:sz w:val="36"/>
          <w:szCs w:val="36"/>
        </w:rPr>
      </w:pPr>
    </w:p>
    <w:p w14:paraId="36228685" w14:textId="77777777" w:rsidR="00233EE0" w:rsidRDefault="00000000">
      <w:pPr>
        <w:jc w:val="center"/>
        <w:rPr>
          <w:rFonts w:ascii="Playfair Display" w:eastAsia="Playfair Display" w:hAnsi="Playfair Display" w:cs="Playfair Display"/>
          <w:sz w:val="36"/>
          <w:szCs w:val="36"/>
        </w:rPr>
      </w:pPr>
      <w:r>
        <w:pict w14:anchorId="04B4452D">
          <v:rect id="_x0000_i1026" style="width:0;height:1.5pt" o:hralign="center" o:hrstd="t" o:hr="t" fillcolor="#a0a0a0" stroked="f"/>
        </w:pict>
      </w:r>
    </w:p>
    <w:p w14:paraId="658F5DA7" w14:textId="77777777" w:rsidR="00233EE0" w:rsidRDefault="00233EE0">
      <w:pPr>
        <w:jc w:val="center"/>
        <w:rPr>
          <w:rFonts w:ascii="Playfair Display" w:eastAsia="Playfair Display" w:hAnsi="Playfair Display" w:cs="Playfair Display"/>
          <w:sz w:val="36"/>
          <w:szCs w:val="36"/>
        </w:rPr>
      </w:pPr>
    </w:p>
    <w:p w14:paraId="4808B87E" w14:textId="77777777" w:rsidR="00233EE0" w:rsidRDefault="00000000">
      <w:pPr>
        <w:jc w:val="center"/>
        <w:rPr>
          <w:rFonts w:ascii="Montserrat" w:eastAsia="Montserrat" w:hAnsi="Montserrat" w:cs="Montserrat"/>
          <w:sz w:val="36"/>
          <w:szCs w:val="36"/>
        </w:rPr>
      </w:pPr>
      <w:r>
        <w:rPr>
          <w:rFonts w:ascii="Montserrat" w:eastAsia="Montserrat" w:hAnsi="Montserrat" w:cs="Montserrat"/>
          <w:sz w:val="36"/>
          <w:szCs w:val="36"/>
        </w:rPr>
        <w:t>Prof. Dr.Muna Merza</w:t>
      </w:r>
    </w:p>
    <w:p w14:paraId="119A9809" w14:textId="77777777" w:rsidR="00233EE0" w:rsidRDefault="00233EE0">
      <w:pPr>
        <w:jc w:val="center"/>
        <w:rPr>
          <w:rFonts w:ascii="Montserrat" w:eastAsia="Montserrat" w:hAnsi="Montserrat" w:cs="Montserrat"/>
          <w:sz w:val="36"/>
          <w:szCs w:val="36"/>
        </w:rPr>
      </w:pPr>
    </w:p>
    <w:p w14:paraId="72C75813" w14:textId="77777777" w:rsidR="00233EE0" w:rsidRDefault="00000000">
      <w:pPr>
        <w:jc w:val="center"/>
        <w:rPr>
          <w:rFonts w:ascii="Montserrat" w:eastAsia="Montserrat" w:hAnsi="Montserrat" w:cs="Montserrat"/>
          <w:sz w:val="36"/>
          <w:szCs w:val="36"/>
        </w:rPr>
      </w:pPr>
      <w:r>
        <w:rPr>
          <w:rFonts w:ascii="Playfair Display" w:eastAsia="Playfair Display" w:hAnsi="Playfair Display" w:cs="Playfair Display"/>
          <w:sz w:val="36"/>
          <w:szCs w:val="36"/>
        </w:rPr>
        <w:t>Lecture 1</w:t>
      </w:r>
    </w:p>
    <w:p w14:paraId="648AC3B1" w14:textId="77777777" w:rsidR="00233EE0" w:rsidRDefault="00233EE0">
      <w:pPr>
        <w:rPr>
          <w:rFonts w:ascii="Playfair Display" w:eastAsia="Playfair Display" w:hAnsi="Playfair Display" w:cs="Playfair Display"/>
          <w:sz w:val="36"/>
          <w:szCs w:val="36"/>
        </w:rPr>
      </w:pPr>
    </w:p>
    <w:p w14:paraId="3A8241A1" w14:textId="77777777" w:rsidR="00233EE0" w:rsidRDefault="00233EE0">
      <w:pPr>
        <w:rPr>
          <w:rFonts w:ascii="Playfair Display" w:eastAsia="Playfair Display" w:hAnsi="Playfair Display" w:cs="Playfair Display"/>
          <w:sz w:val="36"/>
          <w:szCs w:val="36"/>
        </w:rPr>
      </w:pPr>
    </w:p>
    <w:p w14:paraId="321C9FA5" w14:textId="77777777" w:rsidR="00233EE0" w:rsidRDefault="00233EE0">
      <w:pPr>
        <w:rPr>
          <w:rFonts w:ascii="Playfair Display" w:eastAsia="Playfair Display" w:hAnsi="Playfair Display" w:cs="Playfair Display"/>
          <w:sz w:val="36"/>
          <w:szCs w:val="36"/>
        </w:rPr>
      </w:pPr>
    </w:p>
    <w:p w14:paraId="0F2554D6" w14:textId="77777777" w:rsidR="00233EE0" w:rsidRDefault="00233EE0">
      <w:pPr>
        <w:rPr>
          <w:rFonts w:ascii="Playfair Display" w:eastAsia="Playfair Display" w:hAnsi="Playfair Display" w:cs="Playfair Display"/>
          <w:sz w:val="36"/>
          <w:szCs w:val="36"/>
        </w:rPr>
      </w:pPr>
    </w:p>
    <w:p w14:paraId="26344BB1" w14:textId="77777777" w:rsidR="00233EE0" w:rsidRDefault="00233EE0">
      <w:pPr>
        <w:rPr>
          <w:rFonts w:ascii="Playfair Display" w:eastAsia="Playfair Display" w:hAnsi="Playfair Display" w:cs="Playfair Display"/>
          <w:sz w:val="36"/>
          <w:szCs w:val="36"/>
        </w:rPr>
      </w:pPr>
    </w:p>
    <w:p w14:paraId="3F4896C0" w14:textId="77777777" w:rsidR="00233EE0" w:rsidRDefault="00233EE0">
      <w:pPr>
        <w:rPr>
          <w:rFonts w:ascii="Playfair Display" w:eastAsia="Playfair Display" w:hAnsi="Playfair Display" w:cs="Playfair Display"/>
          <w:sz w:val="36"/>
          <w:szCs w:val="36"/>
        </w:rPr>
      </w:pPr>
    </w:p>
    <w:p w14:paraId="5ECAABA9" w14:textId="2A5FF76F" w:rsidR="00B35F9C" w:rsidRPr="00B85797" w:rsidRDefault="00B35F9C" w:rsidP="00B35F9C">
      <w:pPr>
        <w:pStyle w:val="Default"/>
        <w:rPr>
          <w:rFonts w:asciiTheme="majorBidi" w:hAnsiTheme="majorBidi" w:cstheme="majorBidi"/>
          <w:b/>
          <w:bCs/>
          <w:sz w:val="28"/>
          <w:szCs w:val="28"/>
        </w:rPr>
      </w:pPr>
      <w:r>
        <w:rPr>
          <w:rFonts w:asciiTheme="majorBidi" w:hAnsiTheme="majorBidi" w:cstheme="majorBidi"/>
          <w:b/>
          <w:bCs/>
          <w:sz w:val="28"/>
          <w:szCs w:val="28"/>
        </w:rPr>
        <w:lastRenderedPageBreak/>
        <w:t>Le</w:t>
      </w:r>
      <w:r w:rsidRPr="00B85797">
        <w:rPr>
          <w:rFonts w:asciiTheme="majorBidi" w:hAnsiTheme="majorBidi" w:cstheme="majorBidi"/>
          <w:b/>
          <w:bCs/>
          <w:sz w:val="28"/>
          <w:szCs w:val="28"/>
        </w:rPr>
        <w:t>c. 1</w:t>
      </w:r>
      <w:r w:rsidRPr="00B85797">
        <w:rPr>
          <w:rFonts w:asciiTheme="majorBidi" w:hAnsiTheme="majorBidi" w:cstheme="majorBidi"/>
          <w:b/>
          <w:bCs/>
          <w:sz w:val="36"/>
          <w:szCs w:val="36"/>
        </w:rPr>
        <w:t xml:space="preserve">               ORAL PATHOLOGY                 </w:t>
      </w:r>
      <w:r w:rsidRPr="00B85797">
        <w:rPr>
          <w:rFonts w:asciiTheme="majorBidi" w:hAnsiTheme="majorBidi" w:cstheme="majorBidi"/>
          <w:b/>
          <w:bCs/>
          <w:sz w:val="28"/>
          <w:szCs w:val="28"/>
        </w:rPr>
        <w:t>Dr. Muna</w:t>
      </w:r>
    </w:p>
    <w:p w14:paraId="2028609E" w14:textId="77777777" w:rsidR="00B35F9C" w:rsidRPr="00B85797" w:rsidRDefault="00B35F9C" w:rsidP="00B35F9C">
      <w:pPr>
        <w:pStyle w:val="Default"/>
        <w:rPr>
          <w:rFonts w:asciiTheme="majorBidi" w:hAnsiTheme="majorBidi" w:cstheme="majorBidi"/>
          <w:b/>
          <w:bCs/>
          <w:sz w:val="36"/>
          <w:szCs w:val="36"/>
        </w:rPr>
      </w:pPr>
    </w:p>
    <w:p w14:paraId="480F484B" w14:textId="77777777" w:rsidR="00B35F9C" w:rsidRPr="00B85797" w:rsidRDefault="00B35F9C" w:rsidP="00B35F9C">
      <w:pPr>
        <w:pStyle w:val="Default"/>
        <w:rPr>
          <w:rFonts w:asciiTheme="majorBidi" w:hAnsiTheme="majorBidi" w:cstheme="majorBidi"/>
          <w:sz w:val="28"/>
          <w:szCs w:val="28"/>
        </w:rPr>
      </w:pPr>
      <w:r w:rsidRPr="00B85797">
        <w:rPr>
          <w:rFonts w:asciiTheme="majorBidi" w:hAnsiTheme="majorBidi" w:cstheme="majorBidi"/>
        </w:rPr>
        <w:t xml:space="preserve"> </w:t>
      </w:r>
      <w:r w:rsidRPr="00B85797">
        <w:rPr>
          <w:rFonts w:asciiTheme="majorBidi" w:hAnsiTheme="majorBidi" w:cstheme="majorBidi"/>
          <w:b/>
          <w:bCs/>
          <w:sz w:val="28"/>
          <w:szCs w:val="28"/>
        </w:rPr>
        <w:t xml:space="preserve">Definition of oral pathology </w:t>
      </w:r>
      <w:r w:rsidRPr="00B85797">
        <w:rPr>
          <w:rFonts w:asciiTheme="majorBidi" w:hAnsiTheme="majorBidi" w:cstheme="majorBidi"/>
          <w:sz w:val="28"/>
          <w:szCs w:val="28"/>
        </w:rPr>
        <w:t xml:space="preserve"> </w:t>
      </w:r>
    </w:p>
    <w:p w14:paraId="0D55363F" w14:textId="77777777" w:rsidR="00B35F9C" w:rsidRPr="00B85797" w:rsidRDefault="00B35F9C" w:rsidP="00B35F9C">
      <w:pPr>
        <w:pStyle w:val="Default"/>
        <w:rPr>
          <w:rFonts w:asciiTheme="majorBidi" w:hAnsiTheme="majorBidi" w:cstheme="majorBidi"/>
        </w:rPr>
      </w:pPr>
      <w:r w:rsidRPr="00B85797">
        <w:rPr>
          <w:rFonts w:asciiTheme="majorBidi" w:hAnsiTheme="majorBidi" w:cstheme="majorBidi"/>
        </w:rPr>
        <w:t xml:space="preserve">It is a science which deals with nature, identification and management of diseases affecting the oral and maxillofacial region. </w:t>
      </w:r>
    </w:p>
    <w:p w14:paraId="190ECFED" w14:textId="77777777" w:rsidR="00B35F9C" w:rsidRPr="00B85797" w:rsidRDefault="00B35F9C" w:rsidP="00B35F9C">
      <w:pPr>
        <w:rPr>
          <w:rFonts w:asciiTheme="majorBidi" w:hAnsiTheme="majorBidi" w:cstheme="majorBidi"/>
          <w:sz w:val="24"/>
          <w:szCs w:val="24"/>
        </w:rPr>
      </w:pPr>
      <w:r w:rsidRPr="00B85797">
        <w:rPr>
          <w:rFonts w:asciiTheme="majorBidi" w:hAnsiTheme="majorBidi" w:cstheme="majorBidi"/>
          <w:sz w:val="24"/>
          <w:szCs w:val="24"/>
        </w:rPr>
        <w:t>It is a science that investigates the etiology, mechanism ,signs and symptoms ,treatment and effects of these diseases.</w:t>
      </w:r>
    </w:p>
    <w:p w14:paraId="684B840C" w14:textId="77777777" w:rsidR="00B35F9C" w:rsidRPr="00B85797" w:rsidRDefault="00B35F9C" w:rsidP="00B35F9C">
      <w:pPr>
        <w:pStyle w:val="Default"/>
        <w:rPr>
          <w:rFonts w:asciiTheme="majorBidi" w:hAnsiTheme="majorBidi" w:cstheme="majorBidi"/>
        </w:rPr>
      </w:pPr>
    </w:p>
    <w:p w14:paraId="3415AF1B" w14:textId="77777777" w:rsidR="00B35F9C" w:rsidRPr="00B85797" w:rsidRDefault="00B35F9C" w:rsidP="00B35F9C">
      <w:pPr>
        <w:rPr>
          <w:rFonts w:asciiTheme="majorBidi" w:hAnsiTheme="majorBidi" w:cstheme="majorBidi"/>
          <w:sz w:val="24"/>
          <w:szCs w:val="24"/>
        </w:rPr>
      </w:pPr>
      <w:r w:rsidRPr="00B85797">
        <w:rPr>
          <w:rFonts w:asciiTheme="majorBidi" w:hAnsiTheme="majorBidi" w:cstheme="majorBidi"/>
        </w:rPr>
        <w:t xml:space="preserve"> </w:t>
      </w:r>
      <w:r w:rsidRPr="00B85797">
        <w:rPr>
          <w:rFonts w:asciiTheme="majorBidi" w:hAnsiTheme="majorBidi" w:cstheme="majorBidi"/>
          <w:b/>
          <w:bCs/>
          <w:sz w:val="28"/>
          <w:szCs w:val="28"/>
        </w:rPr>
        <w:t>Slide preparation</w:t>
      </w:r>
      <w:r w:rsidRPr="00B85797">
        <w:rPr>
          <w:rFonts w:asciiTheme="majorBidi" w:hAnsiTheme="majorBidi" w:cstheme="majorBidi"/>
          <w:sz w:val="28"/>
          <w:szCs w:val="28"/>
        </w:rPr>
        <w:t xml:space="preserve">: </w:t>
      </w:r>
      <w:r w:rsidRPr="00B85797">
        <w:rPr>
          <w:rFonts w:asciiTheme="majorBidi" w:hAnsiTheme="majorBidi" w:cstheme="majorBidi"/>
          <w:sz w:val="24"/>
          <w:szCs w:val="24"/>
        </w:rPr>
        <w:t>preparation of the tissue section for microscopic examination , description of  the tissue  structure and function of tissue.</w:t>
      </w:r>
    </w:p>
    <w:p w14:paraId="3EEB641E" w14:textId="77777777" w:rsidR="00B35F9C" w:rsidRPr="00B85797" w:rsidRDefault="00B35F9C" w:rsidP="00B35F9C">
      <w:pPr>
        <w:rPr>
          <w:rFonts w:asciiTheme="majorBidi" w:hAnsiTheme="majorBidi" w:cstheme="majorBidi"/>
        </w:rPr>
      </w:pPr>
      <w:r w:rsidRPr="00B85797">
        <w:rPr>
          <w:rFonts w:asciiTheme="majorBidi" w:hAnsiTheme="majorBidi" w:cstheme="majorBidi"/>
          <w:noProof/>
        </w:rPr>
        <w:drawing>
          <wp:inline distT="0" distB="0" distL="0" distR="0" wp14:anchorId="53399694" wp14:editId="6352A06D">
            <wp:extent cx="2429164" cy="1533237"/>
            <wp:effectExtent l="0" t="0" r="0" b="0"/>
            <wp:docPr id="2" name="Picture 1" descr="3 Ways to Prepare Microscope Slid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Ways to Prepare Microscope Slides ..."/>
                    <pic:cNvPicPr>
                      <a:picLocks noChangeAspect="1" noChangeArrowheads="1"/>
                    </pic:cNvPicPr>
                  </pic:nvPicPr>
                  <pic:blipFill rotWithShape="1">
                    <a:blip r:embed="rId8">
                      <a:extLst>
                        <a:ext uri="{28A0092B-C50C-407E-A947-70E740481C1C}">
                          <a14:useLocalDpi xmlns:a14="http://schemas.microsoft.com/office/drawing/2010/main" val="0"/>
                        </a:ext>
                      </a:extLst>
                    </a:blip>
                    <a:srcRect r="1507" b="16997"/>
                    <a:stretch/>
                  </pic:blipFill>
                  <pic:spPr bwMode="auto">
                    <a:xfrm>
                      <a:off x="0" y="0"/>
                      <a:ext cx="2429164" cy="1533237"/>
                    </a:xfrm>
                    <a:prstGeom prst="rect">
                      <a:avLst/>
                    </a:prstGeom>
                    <a:noFill/>
                    <a:ln>
                      <a:noFill/>
                    </a:ln>
                    <a:extLst>
                      <a:ext uri="{53640926-AAD7-44D8-BBD7-CCE9431645EC}">
                        <a14:shadowObscured xmlns:a14="http://schemas.microsoft.com/office/drawing/2010/main"/>
                      </a:ext>
                    </a:extLst>
                  </pic:spPr>
                </pic:pic>
              </a:graphicData>
            </a:graphic>
          </wp:inline>
        </w:drawing>
      </w:r>
    </w:p>
    <w:p w14:paraId="676CAD69" w14:textId="77777777" w:rsidR="00B35F9C" w:rsidRPr="00B85797" w:rsidRDefault="00B35F9C" w:rsidP="00B35F9C">
      <w:pPr>
        <w:pStyle w:val="Default"/>
        <w:rPr>
          <w:rFonts w:asciiTheme="majorBidi" w:hAnsiTheme="majorBidi" w:cstheme="majorBidi"/>
        </w:rPr>
      </w:pPr>
    </w:p>
    <w:p w14:paraId="4F457F2B" w14:textId="77777777" w:rsidR="00B35F9C" w:rsidRPr="00B85797" w:rsidRDefault="00B35F9C" w:rsidP="00B35F9C">
      <w:pPr>
        <w:rPr>
          <w:rFonts w:asciiTheme="majorBidi" w:hAnsiTheme="majorBidi" w:cstheme="majorBidi"/>
          <w:b/>
          <w:bCs/>
          <w:sz w:val="28"/>
          <w:szCs w:val="28"/>
          <w:u w:val="single"/>
        </w:rPr>
      </w:pPr>
      <w:r w:rsidRPr="00B85797">
        <w:rPr>
          <w:rFonts w:asciiTheme="majorBidi" w:hAnsiTheme="majorBidi" w:cstheme="majorBidi"/>
        </w:rPr>
        <w:t xml:space="preserve"> </w:t>
      </w:r>
      <w:r w:rsidRPr="00B85797">
        <w:rPr>
          <w:rFonts w:asciiTheme="majorBidi" w:hAnsiTheme="majorBidi" w:cstheme="majorBidi"/>
          <w:b/>
          <w:bCs/>
          <w:sz w:val="28"/>
          <w:szCs w:val="28"/>
          <w:u w:val="single"/>
        </w:rPr>
        <w:t>Methods of preparation of oral tissue for microscopic examination which are commonly used:</w:t>
      </w:r>
    </w:p>
    <w:p w14:paraId="382C6F49" w14:textId="77777777" w:rsidR="00B35F9C" w:rsidRPr="00B85797" w:rsidRDefault="00B35F9C" w:rsidP="00B35F9C">
      <w:pPr>
        <w:rPr>
          <w:rFonts w:asciiTheme="majorBidi" w:hAnsiTheme="majorBidi" w:cstheme="majorBidi"/>
          <w:b/>
          <w:bCs/>
          <w:sz w:val="28"/>
          <w:szCs w:val="28"/>
        </w:rPr>
      </w:pPr>
      <w:r w:rsidRPr="00B85797">
        <w:rPr>
          <w:rFonts w:asciiTheme="majorBidi" w:hAnsiTheme="majorBidi" w:cstheme="majorBidi"/>
          <w:b/>
          <w:bCs/>
          <w:sz w:val="28"/>
          <w:szCs w:val="28"/>
        </w:rPr>
        <w:t>A-Parraffin embedded section of soft tissues:</w:t>
      </w:r>
    </w:p>
    <w:p w14:paraId="1BB6151E" w14:textId="77777777" w:rsidR="00B35F9C" w:rsidRPr="00B85797" w:rsidRDefault="00B35F9C" w:rsidP="00B35F9C">
      <w:pPr>
        <w:rPr>
          <w:rFonts w:asciiTheme="majorBidi" w:hAnsiTheme="majorBidi" w:cstheme="majorBidi"/>
          <w:sz w:val="24"/>
          <w:szCs w:val="24"/>
        </w:rPr>
      </w:pPr>
      <w:r w:rsidRPr="00B85797">
        <w:rPr>
          <w:rFonts w:asciiTheme="majorBidi" w:hAnsiTheme="majorBidi" w:cstheme="majorBidi"/>
          <w:sz w:val="24"/>
          <w:szCs w:val="24"/>
        </w:rPr>
        <w:t xml:space="preserve">This is the most common technique used for soft tissues such as gingiva, cheek, tongue , lip, salivary gland , etc. That is, the tissue, which are not calcified. </w:t>
      </w:r>
      <w:r>
        <w:rPr>
          <w:rFonts w:asciiTheme="majorBidi" w:hAnsiTheme="majorBidi" w:cstheme="majorBidi"/>
          <w:sz w:val="24"/>
          <w:szCs w:val="24"/>
        </w:rPr>
        <w:t xml:space="preserve"> </w:t>
      </w:r>
    </w:p>
    <w:p w14:paraId="3354F252" w14:textId="77777777" w:rsidR="00B35F9C" w:rsidRPr="00B85797" w:rsidRDefault="00B35F9C" w:rsidP="00B35F9C">
      <w:pPr>
        <w:rPr>
          <w:rFonts w:asciiTheme="majorBidi" w:hAnsiTheme="majorBidi" w:cstheme="majorBidi"/>
          <w:b/>
          <w:bCs/>
          <w:sz w:val="28"/>
          <w:szCs w:val="28"/>
        </w:rPr>
      </w:pPr>
      <w:r w:rsidRPr="00B85797">
        <w:rPr>
          <w:rFonts w:asciiTheme="majorBidi" w:hAnsiTheme="majorBidi" w:cstheme="majorBidi"/>
          <w:b/>
          <w:bCs/>
          <w:sz w:val="28"/>
          <w:szCs w:val="28"/>
        </w:rPr>
        <w:t>B-Decalcified section for hard tissue:</w:t>
      </w:r>
    </w:p>
    <w:p w14:paraId="5CE10622" w14:textId="77777777" w:rsidR="00B35F9C" w:rsidRPr="00B85797" w:rsidRDefault="00B35F9C" w:rsidP="00B35F9C">
      <w:pPr>
        <w:rPr>
          <w:rFonts w:asciiTheme="majorBidi" w:hAnsiTheme="majorBidi" w:cstheme="majorBidi"/>
          <w:sz w:val="24"/>
          <w:szCs w:val="24"/>
        </w:rPr>
      </w:pPr>
      <w:r w:rsidRPr="00B85797">
        <w:rPr>
          <w:rFonts w:asciiTheme="majorBidi" w:hAnsiTheme="majorBidi" w:cstheme="majorBidi"/>
          <w:sz w:val="24"/>
          <w:szCs w:val="24"/>
        </w:rPr>
        <w:t xml:space="preserve">The specimens in this section must be decalcified ( the mineral substance removed by acid). This type is used for the tissue containing bone or teeth.  </w:t>
      </w:r>
    </w:p>
    <w:p w14:paraId="3FB53818" w14:textId="77777777" w:rsidR="00B35F9C" w:rsidRPr="00B85797" w:rsidRDefault="00B35F9C" w:rsidP="00B35F9C">
      <w:pPr>
        <w:rPr>
          <w:rFonts w:asciiTheme="majorBidi" w:hAnsiTheme="majorBidi" w:cstheme="majorBidi"/>
          <w:b/>
          <w:bCs/>
          <w:sz w:val="28"/>
          <w:szCs w:val="28"/>
        </w:rPr>
      </w:pPr>
      <w:r w:rsidRPr="00B85797">
        <w:rPr>
          <w:rFonts w:asciiTheme="majorBidi" w:hAnsiTheme="majorBidi" w:cstheme="majorBidi"/>
          <w:b/>
          <w:bCs/>
          <w:sz w:val="28"/>
          <w:szCs w:val="28"/>
        </w:rPr>
        <w:t>C- Ground sections for calcified tissue:</w:t>
      </w:r>
    </w:p>
    <w:p w14:paraId="2635C038" w14:textId="77777777" w:rsidR="00B35F9C" w:rsidRPr="00B85797" w:rsidRDefault="00B35F9C" w:rsidP="00B35F9C">
      <w:pPr>
        <w:rPr>
          <w:rFonts w:asciiTheme="majorBidi" w:hAnsiTheme="majorBidi" w:cstheme="majorBidi"/>
          <w:sz w:val="24"/>
          <w:szCs w:val="24"/>
        </w:rPr>
      </w:pPr>
      <w:r w:rsidRPr="00B85797">
        <w:rPr>
          <w:rFonts w:asciiTheme="majorBidi" w:hAnsiTheme="majorBidi" w:cstheme="majorBidi"/>
          <w:sz w:val="24"/>
          <w:szCs w:val="24"/>
        </w:rPr>
        <w:t>Specimens of calcified tissue may be ground into thin section such as bone and undecalcified tooth. This is done by slicing the undecalcifed specimen into a section of about 30-50 microns on a revolving stone or disc and then by grinding on lathe wheel or flat stones</w:t>
      </w:r>
    </w:p>
    <w:p w14:paraId="771BF377" w14:textId="77777777" w:rsidR="00B35F9C" w:rsidRPr="00B85797" w:rsidRDefault="00B35F9C" w:rsidP="00B35F9C">
      <w:pPr>
        <w:rPr>
          <w:rFonts w:asciiTheme="majorBidi" w:hAnsiTheme="majorBidi" w:cstheme="majorBidi"/>
          <w:b/>
          <w:bCs/>
          <w:sz w:val="28"/>
          <w:szCs w:val="28"/>
        </w:rPr>
      </w:pPr>
      <w:r w:rsidRPr="00B85797">
        <w:rPr>
          <w:rFonts w:asciiTheme="majorBidi" w:hAnsiTheme="majorBidi" w:cstheme="majorBidi"/>
          <w:b/>
          <w:bCs/>
          <w:sz w:val="28"/>
          <w:szCs w:val="28"/>
        </w:rPr>
        <w:t>D-Frozen section for soft tissues:-</w:t>
      </w:r>
    </w:p>
    <w:p w14:paraId="0658153E" w14:textId="77777777" w:rsidR="00B35F9C" w:rsidRPr="00B85797" w:rsidRDefault="00B35F9C" w:rsidP="00B35F9C">
      <w:pPr>
        <w:rPr>
          <w:rFonts w:asciiTheme="majorBidi" w:hAnsiTheme="majorBidi" w:cstheme="majorBidi"/>
          <w:sz w:val="24"/>
          <w:szCs w:val="24"/>
        </w:rPr>
      </w:pPr>
      <w:r w:rsidRPr="00B85797">
        <w:rPr>
          <w:rFonts w:asciiTheme="majorBidi" w:hAnsiTheme="majorBidi" w:cstheme="majorBidi"/>
          <w:sz w:val="24"/>
          <w:szCs w:val="24"/>
        </w:rPr>
        <w:t>This type is used to examined the pathological tissue specimens immediately, or when the reagent used for embedding would destroy the tissue characteristics that are to be studied, so specimen of soft tissue may be frozen and sectioned with freezing microtome (cryostat) without being embedded.</w:t>
      </w:r>
    </w:p>
    <w:p w14:paraId="7C33AC7C" w14:textId="77777777" w:rsidR="00B35F9C" w:rsidRPr="00B85797" w:rsidRDefault="00B35F9C" w:rsidP="00B35F9C">
      <w:pPr>
        <w:pStyle w:val="Default"/>
        <w:rPr>
          <w:rFonts w:asciiTheme="majorBidi" w:hAnsiTheme="majorBidi" w:cstheme="majorBidi"/>
          <w:sz w:val="28"/>
          <w:szCs w:val="28"/>
        </w:rPr>
      </w:pPr>
      <w:r w:rsidRPr="00B85797">
        <w:rPr>
          <w:rFonts w:asciiTheme="majorBidi" w:hAnsiTheme="majorBidi" w:cstheme="majorBidi"/>
          <w:b/>
          <w:bCs/>
          <w:sz w:val="28"/>
          <w:szCs w:val="28"/>
        </w:rPr>
        <w:t xml:space="preserve">Steps of the slide preparation: </w:t>
      </w:r>
    </w:p>
    <w:p w14:paraId="656CFD64" w14:textId="77777777" w:rsidR="00B35F9C" w:rsidRPr="00B85797" w:rsidRDefault="00B35F9C" w:rsidP="00B35F9C">
      <w:pPr>
        <w:pStyle w:val="Default"/>
        <w:rPr>
          <w:rFonts w:asciiTheme="majorBidi" w:hAnsiTheme="majorBidi" w:cstheme="majorBidi"/>
        </w:rPr>
      </w:pPr>
      <w:r w:rsidRPr="00B85797">
        <w:rPr>
          <w:rFonts w:asciiTheme="majorBidi" w:hAnsiTheme="majorBidi" w:cstheme="majorBidi"/>
        </w:rPr>
        <w:t xml:space="preserve">1_Obtaining the specimen: specimen taken from human or animal must be removed carefully </w:t>
      </w:r>
    </w:p>
    <w:p w14:paraId="2141D858" w14:textId="77777777" w:rsidR="00B35F9C" w:rsidRPr="00B85797" w:rsidRDefault="00B35F9C" w:rsidP="00B35F9C">
      <w:pPr>
        <w:pStyle w:val="Default"/>
        <w:rPr>
          <w:rFonts w:asciiTheme="majorBidi" w:hAnsiTheme="majorBidi" w:cstheme="majorBidi"/>
        </w:rPr>
      </w:pPr>
      <w:r w:rsidRPr="00B85797">
        <w:rPr>
          <w:rFonts w:asciiTheme="majorBidi" w:hAnsiTheme="majorBidi" w:cstheme="majorBidi"/>
        </w:rPr>
        <w:t xml:space="preserve">2_Fixation of the specimen: should be placed immediately in about 400mm of 10% neutral formalin. </w:t>
      </w:r>
    </w:p>
    <w:p w14:paraId="76157AD6" w14:textId="77777777" w:rsidR="00B35F9C" w:rsidRPr="00B85797" w:rsidRDefault="00B35F9C" w:rsidP="00B35F9C">
      <w:pPr>
        <w:pStyle w:val="Default"/>
        <w:rPr>
          <w:rFonts w:asciiTheme="majorBidi" w:hAnsiTheme="majorBidi" w:cstheme="majorBidi"/>
        </w:rPr>
      </w:pPr>
      <w:r w:rsidRPr="00B85797">
        <w:rPr>
          <w:rFonts w:asciiTheme="majorBidi" w:hAnsiTheme="majorBidi" w:cstheme="majorBidi"/>
        </w:rPr>
        <w:t xml:space="preserve">3_Dehydration of the specimen: is placement successively in increasing % of alcohol 40%,60%,80%,95% then to xylene. </w:t>
      </w:r>
    </w:p>
    <w:p w14:paraId="31165FE6" w14:textId="77777777" w:rsidR="00B35F9C" w:rsidRPr="00B85797" w:rsidRDefault="00B35F9C" w:rsidP="00B35F9C">
      <w:pPr>
        <w:pStyle w:val="Default"/>
        <w:rPr>
          <w:rFonts w:asciiTheme="majorBidi" w:hAnsiTheme="majorBidi" w:cstheme="majorBidi"/>
        </w:rPr>
      </w:pPr>
      <w:r w:rsidRPr="00B85797">
        <w:rPr>
          <w:rFonts w:asciiTheme="majorBidi" w:hAnsiTheme="majorBidi" w:cstheme="majorBidi"/>
        </w:rPr>
        <w:t xml:space="preserve">4_Embedding the specimen: completely in the center of a block of paraffin. </w:t>
      </w:r>
    </w:p>
    <w:p w14:paraId="4269D3A5" w14:textId="77777777" w:rsidR="00B35F9C" w:rsidRPr="00B85797" w:rsidRDefault="00B35F9C" w:rsidP="00B35F9C">
      <w:pPr>
        <w:pStyle w:val="Default"/>
        <w:rPr>
          <w:rFonts w:asciiTheme="majorBidi" w:hAnsiTheme="majorBidi" w:cstheme="majorBidi"/>
        </w:rPr>
      </w:pPr>
      <w:r w:rsidRPr="00B85797">
        <w:rPr>
          <w:rFonts w:asciiTheme="majorBidi" w:hAnsiTheme="majorBidi" w:cstheme="majorBidi"/>
        </w:rPr>
        <w:lastRenderedPageBreak/>
        <w:t xml:space="preserve">5_Cutting the section of the specimen: thickness 4-10 μm on a microtome knife. </w:t>
      </w:r>
    </w:p>
    <w:p w14:paraId="70E939A7" w14:textId="77777777" w:rsidR="00B35F9C" w:rsidRDefault="00B35F9C" w:rsidP="00B35F9C">
      <w:pPr>
        <w:pStyle w:val="Default"/>
        <w:rPr>
          <w:rFonts w:asciiTheme="majorBidi" w:hAnsiTheme="majorBidi" w:cstheme="majorBidi"/>
        </w:rPr>
      </w:pPr>
      <w:r w:rsidRPr="00B85797">
        <w:rPr>
          <w:rFonts w:asciiTheme="majorBidi" w:hAnsiTheme="majorBidi" w:cstheme="majorBidi"/>
        </w:rPr>
        <w:t xml:space="preserve">6_Mounting the cut sections on slides, suitable length of the paraffin ribbon are then mounted on prepared microe </w:t>
      </w:r>
      <w:r>
        <w:rPr>
          <w:rFonts w:asciiTheme="majorBidi" w:hAnsiTheme="majorBidi" w:cstheme="majorBidi"/>
        </w:rPr>
        <w:t>slide.</w:t>
      </w:r>
      <w:r w:rsidRPr="00B85797">
        <w:rPr>
          <w:rFonts w:asciiTheme="majorBidi" w:hAnsiTheme="majorBidi" w:cstheme="majorBidi"/>
        </w:rPr>
        <w:t xml:space="preserve"> </w:t>
      </w:r>
    </w:p>
    <w:p w14:paraId="3E55BE45" w14:textId="77777777" w:rsidR="00B35F9C" w:rsidRDefault="00B35F9C" w:rsidP="00B35F9C">
      <w:pPr>
        <w:pStyle w:val="Default"/>
      </w:pPr>
      <w:r w:rsidRPr="00B55196">
        <w:t>7_Staining the sections: staining depend on the kind of tissue, stain used for routine microscope study is hematoxylin &amp; eosin.</w:t>
      </w:r>
    </w:p>
    <w:p w14:paraId="7A71279E" w14:textId="77777777" w:rsidR="00B35F9C" w:rsidRPr="00B55196" w:rsidRDefault="00B35F9C" w:rsidP="00B35F9C">
      <w:pPr>
        <w:pStyle w:val="Default"/>
        <w:rPr>
          <w:sz w:val="28"/>
          <w:szCs w:val="28"/>
        </w:rPr>
      </w:pPr>
      <w:r w:rsidRPr="00B55196">
        <w:rPr>
          <w:b/>
          <w:bCs/>
          <w:sz w:val="28"/>
          <w:szCs w:val="28"/>
        </w:rPr>
        <w:t xml:space="preserve">Preparation of ground sections of teeth or bone: </w:t>
      </w:r>
    </w:p>
    <w:p w14:paraId="6209CE55" w14:textId="77777777" w:rsidR="00B35F9C" w:rsidRPr="00B55196" w:rsidRDefault="00B35F9C" w:rsidP="00B35F9C">
      <w:pPr>
        <w:pStyle w:val="Default"/>
      </w:pPr>
      <w:r w:rsidRPr="00B55196">
        <w:t xml:space="preserve">1_Decalcification of bone and teeth, structures of teeth are damaged because tooth enamel about 96% mineral substance and completely destroyed by ordinary methods of decalcification. </w:t>
      </w:r>
    </w:p>
    <w:p w14:paraId="2D3D8F7C" w14:textId="77777777" w:rsidR="00B35F9C" w:rsidRPr="00B55196" w:rsidRDefault="00B35F9C" w:rsidP="00B35F9C">
      <w:pPr>
        <w:pStyle w:val="Default"/>
      </w:pPr>
      <w:r w:rsidRPr="00B55196">
        <w:t xml:space="preserve">2_ teeth and bone may be studied by making ground sections of specimens. </w:t>
      </w:r>
    </w:p>
    <w:p w14:paraId="2DB66483" w14:textId="77777777" w:rsidR="00B35F9C" w:rsidRPr="00B55196" w:rsidRDefault="00B35F9C" w:rsidP="00B35F9C">
      <w:pPr>
        <w:pStyle w:val="Default"/>
        <w:rPr>
          <w:sz w:val="28"/>
          <w:szCs w:val="28"/>
        </w:rPr>
      </w:pPr>
      <w:r w:rsidRPr="00B55196">
        <w:rPr>
          <w:b/>
          <w:bCs/>
          <w:sz w:val="28"/>
          <w:szCs w:val="28"/>
        </w:rPr>
        <w:t xml:space="preserve">Types of microscopy </w:t>
      </w:r>
    </w:p>
    <w:p w14:paraId="493AAE9C" w14:textId="77777777" w:rsidR="00B35F9C" w:rsidRPr="00B55196" w:rsidRDefault="00B35F9C" w:rsidP="00B35F9C">
      <w:pPr>
        <w:pStyle w:val="Default"/>
      </w:pPr>
      <w:r w:rsidRPr="00B55196">
        <w:t xml:space="preserve">1_Bright field microscope, which is complex optical instrument uses visible light. </w:t>
      </w:r>
    </w:p>
    <w:p w14:paraId="6B497946" w14:textId="77777777" w:rsidR="00B35F9C" w:rsidRPr="00B55196" w:rsidRDefault="00B35F9C" w:rsidP="00B35F9C">
      <w:pPr>
        <w:pStyle w:val="Default"/>
      </w:pPr>
      <w:r w:rsidRPr="00B55196">
        <w:t xml:space="preserve">2_Dark field and polarizing microscope. </w:t>
      </w:r>
    </w:p>
    <w:p w14:paraId="7CBE7421" w14:textId="77777777" w:rsidR="00B35F9C" w:rsidRPr="00B55196" w:rsidRDefault="00B35F9C" w:rsidP="00B35F9C">
      <w:pPr>
        <w:pStyle w:val="Default"/>
      </w:pPr>
      <w:r w:rsidRPr="00B55196">
        <w:t xml:space="preserve">3_Ultra violet microscope. </w:t>
      </w:r>
    </w:p>
    <w:p w14:paraId="317A0003" w14:textId="77777777" w:rsidR="00B35F9C" w:rsidRPr="00B55196" w:rsidRDefault="00B35F9C" w:rsidP="00B35F9C">
      <w:pPr>
        <w:pStyle w:val="Default"/>
      </w:pPr>
      <w:r w:rsidRPr="00B55196">
        <w:t xml:space="preserve">4_Electron microscope. </w:t>
      </w:r>
    </w:p>
    <w:p w14:paraId="305F4DD4" w14:textId="77777777" w:rsidR="00B35F9C" w:rsidRPr="00B55196" w:rsidRDefault="00B35F9C" w:rsidP="00B35F9C">
      <w:pPr>
        <w:pStyle w:val="Default"/>
        <w:rPr>
          <w:rFonts w:asciiTheme="majorBidi" w:hAnsiTheme="majorBidi" w:cstheme="majorBidi"/>
        </w:rPr>
      </w:pPr>
      <w:r w:rsidRPr="00B55196">
        <w:t>5_Scanning probe microscope, and other types such as stereomicroscope, simple microscope and compound microscope.</w:t>
      </w:r>
    </w:p>
    <w:p w14:paraId="5ECC083C" w14:textId="77777777" w:rsidR="00233EE0" w:rsidRDefault="00233EE0">
      <w:pPr>
        <w:rPr>
          <w:rFonts w:ascii="Playfair Display" w:eastAsia="Playfair Display" w:hAnsi="Playfair Display" w:cs="Playfair Display"/>
          <w:sz w:val="36"/>
          <w:szCs w:val="36"/>
        </w:rPr>
      </w:pPr>
    </w:p>
    <w:p w14:paraId="6469847D" w14:textId="3343C210" w:rsidR="00233EE0" w:rsidRDefault="00B35F9C">
      <w:pPr>
        <w:spacing w:line="301" w:lineRule="auto"/>
        <w:rPr>
          <w:rFonts w:ascii="Playfair Display" w:eastAsia="Playfair Display" w:hAnsi="Playfair Display" w:cs="Playfair Display"/>
          <w:sz w:val="24"/>
          <w:szCs w:val="24"/>
        </w:rPr>
      </w:pPr>
      <w:r>
        <w:rPr>
          <w:noProof/>
        </w:rPr>
        <w:drawing>
          <wp:anchor distT="0" distB="0" distL="114300" distR="114300" simplePos="0" relativeHeight="251659264" behindDoc="0" locked="0" layoutInCell="1" allowOverlap="1" wp14:anchorId="3C9CE2D0" wp14:editId="4978B096">
            <wp:simplePos x="0" y="0"/>
            <wp:positionH relativeFrom="margin">
              <wp:align>left</wp:align>
            </wp:positionH>
            <wp:positionV relativeFrom="paragraph">
              <wp:posOffset>1698625</wp:posOffset>
            </wp:positionV>
            <wp:extent cx="1714500" cy="2414905"/>
            <wp:effectExtent l="0" t="0" r="0" b="4445"/>
            <wp:wrapSquare wrapText="bothSides"/>
            <wp:docPr id="2073318165" name="Picture 1" descr="ultraviolet microsc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ltraviolet microscop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0" cy="24149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Oswald" w:eastAsia="Oswald" w:hAnsi="Oswald" w:cs="Oswald"/>
          <w:b/>
          <w:sz w:val="24"/>
          <w:szCs w:val="24"/>
        </w:rPr>
        <w:t xml:space="preserve"> </w:t>
      </w:r>
      <w:r>
        <w:rPr>
          <w:noProof/>
        </w:rPr>
        <w:drawing>
          <wp:inline distT="0" distB="0" distL="0" distR="0" wp14:anchorId="73416155" wp14:editId="2E3FF7AF">
            <wp:extent cx="1579829" cy="1657927"/>
            <wp:effectExtent l="0" t="0" r="1905" b="0"/>
            <wp:docPr id="1" name="Picture 1" descr="Compound Light Microscopes | Produc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ound Light Microscopes | Products ..."/>
                    <pic:cNvPicPr>
                      <a:picLocks noChangeAspect="1" noChangeArrowheads="1"/>
                    </pic:cNvPicPr>
                  </pic:nvPicPr>
                  <pic:blipFill rotWithShape="1">
                    <a:blip r:embed="rId10">
                      <a:extLst>
                        <a:ext uri="{28A0092B-C50C-407E-A947-70E740481C1C}">
                          <a14:useLocalDpi xmlns:a14="http://schemas.microsoft.com/office/drawing/2010/main" val="0"/>
                        </a:ext>
                      </a:extLst>
                    </a:blip>
                    <a:srcRect l="15348" r="23463" b="3421"/>
                    <a:stretch/>
                  </pic:blipFill>
                  <pic:spPr bwMode="auto">
                    <a:xfrm>
                      <a:off x="0" y="0"/>
                      <a:ext cx="1587749" cy="1666238"/>
                    </a:xfrm>
                    <a:prstGeom prst="rect">
                      <a:avLst/>
                    </a:prstGeom>
                    <a:noFill/>
                    <a:ln>
                      <a:noFill/>
                    </a:ln>
                    <a:extLst>
                      <a:ext uri="{53640926-AAD7-44D8-BBD7-CCE9431645EC}">
                        <a14:shadowObscured xmlns:a14="http://schemas.microsoft.com/office/drawing/2010/main"/>
                      </a:ext>
                    </a:extLst>
                  </pic:spPr>
                </pic:pic>
              </a:graphicData>
            </a:graphic>
          </wp:inline>
        </w:drawing>
      </w:r>
      <w:r w:rsidRPr="00B35F9C">
        <w:rPr>
          <w:noProof/>
        </w:rPr>
        <w:t xml:space="preserve"> </w:t>
      </w:r>
      <w:r>
        <w:rPr>
          <w:noProof/>
        </w:rPr>
        <w:drawing>
          <wp:inline distT="0" distB="0" distL="0" distR="0" wp14:anchorId="34EF134C" wp14:editId="52C41922">
            <wp:extent cx="1288473" cy="1556328"/>
            <wp:effectExtent l="0" t="0" r="6985" b="6350"/>
            <wp:docPr id="1735571638" name="Picture 1735571638" descr="Darkfield Microscope- Defini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kfield Microscope- Definition ..."/>
                    <pic:cNvPicPr>
                      <a:picLocks noChangeAspect="1" noChangeArrowheads="1"/>
                    </pic:cNvPicPr>
                  </pic:nvPicPr>
                  <pic:blipFill rotWithShape="1">
                    <a:blip r:embed="rId11">
                      <a:extLst>
                        <a:ext uri="{28A0092B-C50C-407E-A947-70E740481C1C}">
                          <a14:useLocalDpi xmlns:a14="http://schemas.microsoft.com/office/drawing/2010/main" val="0"/>
                        </a:ext>
                      </a:extLst>
                    </a:blip>
                    <a:srcRect t="-1" r="56324" b="-929"/>
                    <a:stretch/>
                  </pic:blipFill>
                  <pic:spPr bwMode="auto">
                    <a:xfrm>
                      <a:off x="0" y="0"/>
                      <a:ext cx="1288809" cy="1556734"/>
                    </a:xfrm>
                    <a:prstGeom prst="rect">
                      <a:avLst/>
                    </a:prstGeom>
                    <a:noFill/>
                    <a:ln>
                      <a:noFill/>
                    </a:ln>
                    <a:extLst>
                      <a:ext uri="{53640926-AAD7-44D8-BBD7-CCE9431645EC}">
                        <a14:shadowObscured xmlns:a14="http://schemas.microsoft.com/office/drawing/2010/main"/>
                      </a:ext>
                    </a:extLst>
                  </pic:spPr>
                </pic:pic>
              </a:graphicData>
            </a:graphic>
          </wp:inline>
        </w:drawing>
      </w:r>
      <w:r w:rsidRPr="00B35F9C">
        <w:rPr>
          <w:noProof/>
        </w:rPr>
        <w:t xml:space="preserve"> </w:t>
      </w:r>
    </w:p>
    <w:p w14:paraId="3F0C947D" w14:textId="4F1E79F5" w:rsidR="00233EE0" w:rsidRDefault="00233EE0">
      <w:pPr>
        <w:spacing w:line="301" w:lineRule="auto"/>
        <w:jc w:val="center"/>
        <w:rPr>
          <w:rFonts w:ascii="Playfair Display" w:eastAsia="Playfair Display" w:hAnsi="Playfair Display" w:cs="Playfair Display"/>
          <w:sz w:val="24"/>
          <w:szCs w:val="24"/>
        </w:rPr>
      </w:pPr>
    </w:p>
    <w:p w14:paraId="60A95A85" w14:textId="49D8DDE1" w:rsidR="00233EE0" w:rsidRDefault="00B35F9C">
      <w:pPr>
        <w:rPr>
          <w:rFonts w:ascii="Montserrat" w:eastAsia="Montserrat" w:hAnsi="Montserrat" w:cs="Montserrat"/>
          <w:sz w:val="24"/>
          <w:szCs w:val="24"/>
        </w:rPr>
      </w:pPr>
      <w:r>
        <w:rPr>
          <w:noProof/>
        </w:rPr>
        <w:drawing>
          <wp:inline distT="0" distB="0" distL="0" distR="0" wp14:anchorId="2BE712AE" wp14:editId="5AC45615">
            <wp:extent cx="1399136" cy="2087418"/>
            <wp:effectExtent l="0" t="0" r="0" b="8255"/>
            <wp:docPr id="292588909" name="Picture 292588909" descr="Transmission Electron Microscope (T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mission Electron Microscope (TEM ..."/>
                    <pic:cNvPicPr>
                      <a:picLocks noChangeAspect="1" noChangeArrowheads="1"/>
                    </pic:cNvPicPr>
                  </pic:nvPicPr>
                  <pic:blipFill rotWithShape="1">
                    <a:blip r:embed="rId12">
                      <a:extLst>
                        <a:ext uri="{28A0092B-C50C-407E-A947-70E740481C1C}">
                          <a14:useLocalDpi xmlns:a14="http://schemas.microsoft.com/office/drawing/2010/main" val="0"/>
                        </a:ext>
                      </a:extLst>
                    </a:blip>
                    <a:srcRect l="17887" t="1" r="16822" b="2590"/>
                    <a:stretch/>
                  </pic:blipFill>
                  <pic:spPr bwMode="auto">
                    <a:xfrm>
                      <a:off x="0" y="0"/>
                      <a:ext cx="1399272" cy="208762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FC4EA2A" wp14:editId="60581689">
            <wp:extent cx="2466340" cy="1574800"/>
            <wp:effectExtent l="0" t="0" r="0" b="6350"/>
            <wp:docPr id="1582321391" name="Picture 1582321391" descr="Scanning Probe Micros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nning Probe Microscop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67247" cy="1575379"/>
                    </a:xfrm>
                    <a:prstGeom prst="rect">
                      <a:avLst/>
                    </a:prstGeom>
                    <a:noFill/>
                    <a:ln>
                      <a:noFill/>
                    </a:ln>
                  </pic:spPr>
                </pic:pic>
              </a:graphicData>
            </a:graphic>
          </wp:inline>
        </w:drawing>
      </w:r>
    </w:p>
    <w:p w14:paraId="5C029BB9" w14:textId="5F1970D8" w:rsidR="00233EE0" w:rsidRDefault="00B35F9C">
      <w:pPr>
        <w:rPr>
          <w:rFonts w:ascii="Playfair Display" w:eastAsia="Playfair Display" w:hAnsi="Playfair Display" w:cs="Playfair Display"/>
          <w:sz w:val="24"/>
          <w:szCs w:val="24"/>
        </w:rPr>
      </w:pPr>
      <w:r>
        <w:rPr>
          <w:rFonts w:ascii="Playfair Display" w:eastAsia="Playfair Display" w:hAnsi="Playfair Display" w:cs="Playfair Display"/>
          <w:sz w:val="24"/>
          <w:szCs w:val="24"/>
        </w:rPr>
        <w:t xml:space="preserve"> </w:t>
      </w:r>
      <w:r w:rsidRPr="00B35F9C">
        <w:rPr>
          <w:noProof/>
        </w:rPr>
        <w:t xml:space="preserve"> </w:t>
      </w:r>
    </w:p>
    <w:p w14:paraId="6B1CE843" w14:textId="3DED44D8" w:rsidR="00233EE0" w:rsidRDefault="00233EE0">
      <w:pPr>
        <w:jc w:val="center"/>
        <w:rPr>
          <w:rFonts w:ascii="Playfair Display" w:eastAsia="Playfair Display" w:hAnsi="Playfair Display" w:cs="Playfair Display"/>
          <w:b/>
          <w:sz w:val="24"/>
          <w:szCs w:val="24"/>
        </w:rPr>
      </w:pPr>
    </w:p>
    <w:p w14:paraId="4F074D4C" w14:textId="77777777" w:rsidR="00233EE0" w:rsidRDefault="00233EE0">
      <w:pPr>
        <w:rPr>
          <w:rFonts w:ascii="Playfair Display" w:eastAsia="Playfair Display" w:hAnsi="Playfair Display" w:cs="Playfair Display"/>
          <w:b/>
          <w:sz w:val="24"/>
          <w:szCs w:val="24"/>
        </w:rPr>
      </w:pPr>
    </w:p>
    <w:p w14:paraId="75775D61" w14:textId="5B851F36" w:rsidR="00233EE0" w:rsidRPr="00B35F9C" w:rsidRDefault="00233EE0" w:rsidP="00B35F9C">
      <w:pPr>
        <w:spacing w:line="301" w:lineRule="auto"/>
        <w:rPr>
          <w:rFonts w:ascii="Playfair Display" w:eastAsia="Playfair Display" w:hAnsi="Playfair Display" w:cs="Playfair Display"/>
          <w:sz w:val="24"/>
          <w:szCs w:val="24"/>
        </w:rPr>
      </w:pPr>
    </w:p>
    <w:sectPr w:rsidR="00233EE0" w:rsidRPr="00B35F9C">
      <w:headerReference w:type="default" r:id="rId14"/>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DB3575" w14:textId="77777777" w:rsidR="0035208B" w:rsidRDefault="0035208B">
      <w:pPr>
        <w:spacing w:line="240" w:lineRule="auto"/>
      </w:pPr>
      <w:r>
        <w:separator/>
      </w:r>
    </w:p>
  </w:endnote>
  <w:endnote w:type="continuationSeparator" w:id="0">
    <w:p w14:paraId="0E6A2F2A" w14:textId="77777777" w:rsidR="0035208B" w:rsidRDefault="003520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DBDF3D0D-D0B6-4422-B9E5-28ED96873266}"/>
    <w:embedBold r:id="rId2" w:fontKey="{D3F367B7-9A97-45FD-8709-02C34602A7B1}"/>
  </w:font>
  <w:font w:name="Playfair Display">
    <w:charset w:val="00"/>
    <w:family w:val="auto"/>
    <w:pitch w:val="variable"/>
    <w:sig w:usb0="20000207" w:usb1="00000000" w:usb2="00000000" w:usb3="00000000" w:csb0="00000197" w:csb1="00000000"/>
    <w:embedRegular r:id="rId3" w:fontKey="{AC616D85-8350-443B-AF1B-9B6F6101571E}"/>
    <w:embedBold r:id="rId4" w:fontKey="{EB9787EA-ED04-4D57-8EF8-20C8F20A8A23}"/>
  </w:font>
  <w:font w:name="Montserrat">
    <w:charset w:val="00"/>
    <w:family w:val="auto"/>
    <w:pitch w:val="variable"/>
    <w:sig w:usb0="2000020F" w:usb1="00000003" w:usb2="00000000" w:usb3="00000000" w:csb0="00000197" w:csb1="00000000"/>
    <w:embedRegular r:id="rId5" w:fontKey="{33D3161B-1F52-4A1C-BFFC-F352B9F61F66}"/>
  </w:font>
  <w:font w:name="Oswald">
    <w:charset w:val="00"/>
    <w:family w:val="auto"/>
    <w:pitch w:val="variable"/>
    <w:sig w:usb0="2000020F" w:usb1="00000000" w:usb2="00000000" w:usb3="00000000" w:csb0="00000197" w:csb1="00000000"/>
    <w:embedRegular r:id="rId6" w:fontKey="{B4C8022C-0D2F-44DF-957A-A3BFE272FA0C}"/>
    <w:embedBold r:id="rId7" w:fontKey="{8F57C83B-071D-4E50-9BBD-75B4C2C38F10}"/>
  </w:font>
  <w:font w:name="Calibri">
    <w:panose1 w:val="020F0502020204030204"/>
    <w:charset w:val="00"/>
    <w:family w:val="swiss"/>
    <w:pitch w:val="variable"/>
    <w:sig w:usb0="E4002EFF" w:usb1="C000247B" w:usb2="00000009" w:usb3="00000000" w:csb0="000001FF" w:csb1="00000000"/>
    <w:embedRegular r:id="rId8" w:fontKey="{3A9706E4-083A-4EA6-ADE5-07D2EF2B369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266A62" w14:textId="77777777" w:rsidR="0035208B" w:rsidRDefault="0035208B">
      <w:pPr>
        <w:spacing w:line="240" w:lineRule="auto"/>
      </w:pPr>
      <w:r>
        <w:separator/>
      </w:r>
    </w:p>
  </w:footnote>
  <w:footnote w:type="continuationSeparator" w:id="0">
    <w:p w14:paraId="34CF0308" w14:textId="77777777" w:rsidR="0035208B" w:rsidRDefault="0035208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6AB83" w14:textId="77777777" w:rsidR="00233EE0" w:rsidRDefault="00233EE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EE0"/>
    <w:rsid w:val="00233EE0"/>
    <w:rsid w:val="0035208B"/>
    <w:rsid w:val="00764F37"/>
    <w:rsid w:val="00B35F9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16869"/>
  <w15:docId w15:val="{4DB3F4F1-30EA-4449-9BBB-10213D7C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customStyle="1" w:styleId="Default">
    <w:name w:val="Default"/>
    <w:rsid w:val="00B35F9C"/>
    <w:pPr>
      <w:autoSpaceDE w:val="0"/>
      <w:autoSpaceDN w:val="0"/>
      <w:adjustRightInd w:val="0"/>
      <w:spacing w:line="240" w:lineRule="auto"/>
    </w:pPr>
    <w:rPr>
      <w:rFonts w:ascii="Times New Roman" w:eastAsiaTheme="minorHAnsi" w:hAnsi="Times New Roman" w:cs="Times New Roman"/>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462</Words>
  <Characters>2640</Characters>
  <Application>Microsoft Office Word</Application>
  <DocSecurity>0</DocSecurity>
  <Lines>22</Lines>
  <Paragraphs>6</Paragraphs>
  <ScaleCrop>false</ScaleCrop>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ayadabdali.alshamma</cp:lastModifiedBy>
  <cp:revision>2</cp:revision>
  <dcterms:created xsi:type="dcterms:W3CDTF">2024-09-20T13:10:00Z</dcterms:created>
  <dcterms:modified xsi:type="dcterms:W3CDTF">2024-09-20T13:14:00Z</dcterms:modified>
</cp:coreProperties>
</file>