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182B" w14:textId="77777777" w:rsidR="008A4808" w:rsidRDefault="008A4808">
      <w:pPr>
        <w:rPr>
          <w:rFonts w:ascii="Playfair Display" w:eastAsia="Playfair Display" w:hAnsi="Playfair Display" w:cs="Playfair Display"/>
          <w:sz w:val="36"/>
          <w:szCs w:val="36"/>
        </w:rPr>
      </w:pPr>
    </w:p>
    <w:p w14:paraId="596515BE" w14:textId="77777777" w:rsidR="008A4808" w:rsidRDefault="00000000">
      <w:pPr>
        <w:rPr>
          <w:rFonts w:ascii="Playfair Display" w:eastAsia="Playfair Display" w:hAnsi="Playfair Display" w:cs="Playfair Display"/>
          <w:sz w:val="36"/>
          <w:szCs w:val="36"/>
        </w:rPr>
      </w:pPr>
      <w:r>
        <w:rPr>
          <w:rFonts w:ascii="Playfair Display" w:eastAsia="Playfair Display" w:hAnsi="Playfair Display" w:cs="Playfair Display"/>
          <w:noProof/>
          <w:sz w:val="36"/>
          <w:szCs w:val="36"/>
        </w:rPr>
        <w:drawing>
          <wp:inline distT="114300" distB="114300" distL="114300" distR="114300" wp14:anchorId="3AA7307D" wp14:editId="3AFBEC60">
            <wp:extent cx="2007189" cy="214988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2007189" cy="2149880"/>
                    </a:xfrm>
                    <a:prstGeom prst="rect">
                      <a:avLst/>
                    </a:prstGeom>
                    <a:ln/>
                  </pic:spPr>
                </pic:pic>
              </a:graphicData>
            </a:graphic>
          </wp:inline>
        </w:drawing>
      </w:r>
      <w:r>
        <w:rPr>
          <w:rFonts w:ascii="Playfair Display" w:eastAsia="Playfair Display" w:hAnsi="Playfair Display" w:cs="Playfair Display"/>
          <w:sz w:val="36"/>
          <w:szCs w:val="36"/>
        </w:rPr>
        <w:t xml:space="preserve">                       </w:t>
      </w:r>
      <w:r>
        <w:rPr>
          <w:rFonts w:ascii="Playfair Display" w:eastAsia="Playfair Display" w:hAnsi="Playfair Display" w:cs="Playfair Display"/>
          <w:noProof/>
          <w:sz w:val="36"/>
          <w:szCs w:val="36"/>
        </w:rPr>
        <w:drawing>
          <wp:inline distT="114300" distB="114300" distL="114300" distR="114300" wp14:anchorId="6DA7E4DB" wp14:editId="5D03986C">
            <wp:extent cx="2238375" cy="235267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75" cy="2352675"/>
                    </a:xfrm>
                    <a:prstGeom prst="rect">
                      <a:avLst/>
                    </a:prstGeom>
                    <a:ln/>
                  </pic:spPr>
                </pic:pic>
              </a:graphicData>
            </a:graphic>
          </wp:inline>
        </w:drawing>
      </w:r>
    </w:p>
    <w:p w14:paraId="15FFF7FD" w14:textId="77777777" w:rsidR="008A4808" w:rsidRDefault="008A4808">
      <w:pPr>
        <w:rPr>
          <w:rFonts w:ascii="Playfair Display" w:eastAsia="Playfair Display" w:hAnsi="Playfair Display" w:cs="Playfair Display"/>
          <w:sz w:val="36"/>
          <w:szCs w:val="36"/>
        </w:rPr>
      </w:pPr>
    </w:p>
    <w:p w14:paraId="17D94FD9" w14:textId="77777777" w:rsidR="008A4808" w:rsidRDefault="008A4808">
      <w:pPr>
        <w:rPr>
          <w:rFonts w:ascii="Playfair Display" w:eastAsia="Playfair Display" w:hAnsi="Playfair Display" w:cs="Playfair Display"/>
          <w:sz w:val="36"/>
          <w:szCs w:val="36"/>
        </w:rPr>
      </w:pPr>
    </w:p>
    <w:p w14:paraId="06D8EE62" w14:textId="77777777" w:rsidR="008A4808" w:rsidRDefault="008A4808">
      <w:pPr>
        <w:jc w:val="center"/>
        <w:rPr>
          <w:rFonts w:ascii="Playfair Display" w:eastAsia="Playfair Display" w:hAnsi="Playfair Display" w:cs="Playfair Display"/>
          <w:sz w:val="36"/>
          <w:szCs w:val="36"/>
        </w:rPr>
      </w:pPr>
    </w:p>
    <w:p w14:paraId="4B3DE211" w14:textId="77777777" w:rsidR="008A4808" w:rsidRDefault="00000000">
      <w:pPr>
        <w:jc w:val="center"/>
        <w:rPr>
          <w:rFonts w:ascii="Playfair Display" w:eastAsia="Playfair Display" w:hAnsi="Playfair Display" w:cs="Playfair Display"/>
          <w:sz w:val="36"/>
          <w:szCs w:val="36"/>
        </w:rPr>
      </w:pPr>
      <w:r>
        <w:pict w14:anchorId="6DFB529B">
          <v:rect id="_x0000_i1025" style="width:0;height:1.5pt" o:hralign="center" o:hrstd="t" o:hr="t" fillcolor="#a0a0a0" stroked="f"/>
        </w:pict>
      </w:r>
    </w:p>
    <w:p w14:paraId="2016966C" w14:textId="77777777" w:rsidR="008A4808" w:rsidRDefault="008A4808">
      <w:pPr>
        <w:jc w:val="center"/>
        <w:rPr>
          <w:rFonts w:ascii="Playfair Display" w:eastAsia="Playfair Display" w:hAnsi="Playfair Display" w:cs="Playfair Display"/>
          <w:sz w:val="36"/>
          <w:szCs w:val="36"/>
        </w:rPr>
      </w:pPr>
    </w:p>
    <w:p w14:paraId="3C5CBD5F" w14:textId="29E0639A" w:rsidR="00AB4E50" w:rsidRDefault="00AB4E50" w:rsidP="00AB4E50">
      <w:pPr>
        <w:widowControl w:val="0"/>
        <w:ind w:left="360" w:right="360"/>
        <w:jc w:val="center"/>
        <w:rPr>
          <w:rFonts w:ascii="Trebuchet MS" w:eastAsia="Trebuchet MS" w:hAnsi="Trebuchet MS" w:cs="Trebuchet MS"/>
          <w:b/>
          <w:sz w:val="48"/>
          <w:szCs w:val="48"/>
          <w:lang w:val="en-US"/>
        </w:rPr>
      </w:pPr>
      <w:r w:rsidRPr="00AB4E50">
        <w:rPr>
          <w:rFonts w:ascii="Trebuchet MS" w:eastAsia="Trebuchet MS" w:hAnsi="Trebuchet MS" w:cs="Trebuchet MS"/>
          <w:b/>
          <w:sz w:val="48"/>
          <w:szCs w:val="48"/>
          <w:lang w:val="en-US"/>
        </w:rPr>
        <w:t>Dentinogenesis</w:t>
      </w:r>
    </w:p>
    <w:p w14:paraId="4F87EFB0" w14:textId="2D030463" w:rsidR="000D7808" w:rsidRDefault="000D7808" w:rsidP="00AB4E50">
      <w:pPr>
        <w:widowControl w:val="0"/>
        <w:ind w:left="360" w:right="360"/>
        <w:jc w:val="center"/>
        <w:rPr>
          <w:rFonts w:ascii="Trebuchet MS" w:eastAsia="Trebuchet MS" w:hAnsi="Trebuchet MS" w:cs="Trebuchet MS"/>
          <w:b/>
          <w:sz w:val="48"/>
          <w:szCs w:val="48"/>
          <w:lang w:val="en-US"/>
        </w:rPr>
      </w:pPr>
      <w:r>
        <w:rPr>
          <w:rFonts w:ascii="Trebuchet MS" w:eastAsia="Trebuchet MS" w:hAnsi="Trebuchet MS" w:cs="Trebuchet MS"/>
          <w:b/>
          <w:sz w:val="48"/>
          <w:szCs w:val="48"/>
          <w:lang w:val="en-US"/>
        </w:rPr>
        <w:t>&amp;</w:t>
      </w:r>
    </w:p>
    <w:p w14:paraId="498AF803" w14:textId="36BA372C" w:rsidR="000D7808" w:rsidRPr="00AB4E50" w:rsidRDefault="000D7808" w:rsidP="00AB4E50">
      <w:pPr>
        <w:widowControl w:val="0"/>
        <w:ind w:left="360" w:right="360"/>
        <w:jc w:val="center"/>
        <w:rPr>
          <w:rFonts w:ascii="Trebuchet MS" w:eastAsia="Trebuchet MS" w:hAnsi="Trebuchet MS" w:cs="Trebuchet MS"/>
          <w:b/>
          <w:sz w:val="48"/>
          <w:szCs w:val="48"/>
          <w:lang w:val="en-US"/>
        </w:rPr>
      </w:pPr>
      <w:r>
        <w:rPr>
          <w:rFonts w:ascii="Trebuchet MS" w:eastAsia="Trebuchet MS" w:hAnsi="Trebuchet MS" w:cs="Trebuchet MS"/>
          <w:b/>
          <w:sz w:val="48"/>
          <w:szCs w:val="48"/>
          <w:lang w:val="en-US"/>
        </w:rPr>
        <w:t>Dentin structure</w:t>
      </w:r>
    </w:p>
    <w:p w14:paraId="073BB154" w14:textId="77777777" w:rsidR="008A4808" w:rsidRDefault="008A4808">
      <w:pPr>
        <w:jc w:val="center"/>
        <w:rPr>
          <w:rFonts w:ascii="Playfair Display" w:eastAsia="Playfair Display" w:hAnsi="Playfair Display" w:cs="Playfair Display"/>
          <w:sz w:val="36"/>
          <w:szCs w:val="36"/>
        </w:rPr>
      </w:pPr>
    </w:p>
    <w:p w14:paraId="180E884F" w14:textId="77777777" w:rsidR="008A4808" w:rsidRDefault="00000000">
      <w:pPr>
        <w:jc w:val="center"/>
        <w:rPr>
          <w:rFonts w:ascii="Playfair Display" w:eastAsia="Playfair Display" w:hAnsi="Playfair Display" w:cs="Playfair Display"/>
          <w:sz w:val="36"/>
          <w:szCs w:val="36"/>
        </w:rPr>
      </w:pPr>
      <w:r>
        <w:pict w14:anchorId="5D9CE94F">
          <v:rect id="_x0000_i1026" style="width:0;height:1.5pt" o:hralign="center" o:hrstd="t" o:hr="t" fillcolor="#a0a0a0" stroked="f"/>
        </w:pict>
      </w:r>
    </w:p>
    <w:p w14:paraId="008FF94C" w14:textId="77777777" w:rsidR="008A4808" w:rsidRDefault="008A4808">
      <w:pPr>
        <w:jc w:val="center"/>
        <w:rPr>
          <w:rFonts w:ascii="Playfair Display" w:eastAsia="Playfair Display" w:hAnsi="Playfair Display" w:cs="Playfair Display"/>
          <w:sz w:val="36"/>
          <w:szCs w:val="36"/>
        </w:rPr>
      </w:pPr>
    </w:p>
    <w:p w14:paraId="2E5B8DBC" w14:textId="77777777" w:rsidR="008A4808" w:rsidRDefault="00000000">
      <w:pPr>
        <w:jc w:val="center"/>
        <w:rPr>
          <w:rFonts w:ascii="Montserrat" w:eastAsia="Montserrat" w:hAnsi="Montserrat" w:cs="Montserrat"/>
          <w:sz w:val="36"/>
          <w:szCs w:val="36"/>
        </w:rPr>
      </w:pPr>
      <w:r>
        <w:rPr>
          <w:rFonts w:ascii="Montserrat" w:eastAsia="Montserrat" w:hAnsi="Montserrat" w:cs="Montserrat"/>
          <w:sz w:val="36"/>
          <w:szCs w:val="36"/>
        </w:rPr>
        <w:t>Prof. Dr.Muna Merza</w:t>
      </w:r>
    </w:p>
    <w:p w14:paraId="095936D3" w14:textId="77777777" w:rsidR="008A4808" w:rsidRDefault="008A4808">
      <w:pPr>
        <w:jc w:val="center"/>
        <w:rPr>
          <w:rFonts w:ascii="Montserrat" w:eastAsia="Montserrat" w:hAnsi="Montserrat" w:cs="Montserrat"/>
          <w:sz w:val="36"/>
          <w:szCs w:val="36"/>
        </w:rPr>
      </w:pPr>
    </w:p>
    <w:p w14:paraId="3E98ED3E" w14:textId="3DB847F2" w:rsidR="008A4808" w:rsidRDefault="00000000">
      <w:pPr>
        <w:jc w:val="center"/>
        <w:rPr>
          <w:rFonts w:ascii="Montserrat" w:eastAsia="Montserrat" w:hAnsi="Montserrat" w:cs="Montserrat"/>
          <w:sz w:val="36"/>
          <w:szCs w:val="36"/>
        </w:rPr>
      </w:pPr>
      <w:r>
        <w:rPr>
          <w:rFonts w:ascii="Playfair Display" w:eastAsia="Playfair Display" w:hAnsi="Playfair Display" w:cs="Playfair Display"/>
          <w:sz w:val="36"/>
          <w:szCs w:val="36"/>
        </w:rPr>
        <w:t xml:space="preserve">Lecture </w:t>
      </w:r>
      <w:r w:rsidR="005A59DE">
        <w:rPr>
          <w:rFonts w:ascii="Playfair Display" w:eastAsia="Playfair Display" w:hAnsi="Playfair Display" w:cs="Playfair Display"/>
          <w:sz w:val="36"/>
          <w:szCs w:val="36"/>
        </w:rPr>
        <w:t>8</w:t>
      </w:r>
    </w:p>
    <w:p w14:paraId="0BD248A5" w14:textId="77777777" w:rsidR="008A4808" w:rsidRDefault="008A4808">
      <w:pPr>
        <w:rPr>
          <w:rFonts w:ascii="Playfair Display" w:eastAsia="Playfair Display" w:hAnsi="Playfair Display" w:cs="Playfair Display"/>
          <w:sz w:val="36"/>
          <w:szCs w:val="36"/>
        </w:rPr>
      </w:pPr>
    </w:p>
    <w:p w14:paraId="1D3986F5" w14:textId="77777777" w:rsidR="008A4808" w:rsidRDefault="008A4808">
      <w:pPr>
        <w:rPr>
          <w:rFonts w:ascii="Playfair Display" w:eastAsia="Playfair Display" w:hAnsi="Playfair Display" w:cs="Playfair Display"/>
          <w:sz w:val="36"/>
          <w:szCs w:val="36"/>
        </w:rPr>
      </w:pPr>
    </w:p>
    <w:p w14:paraId="42FB3481" w14:textId="77777777" w:rsidR="008A4808" w:rsidRDefault="008A4808">
      <w:pPr>
        <w:rPr>
          <w:rFonts w:ascii="Playfair Display" w:eastAsia="Playfair Display" w:hAnsi="Playfair Display" w:cs="Playfair Display"/>
          <w:sz w:val="36"/>
          <w:szCs w:val="36"/>
        </w:rPr>
      </w:pPr>
    </w:p>
    <w:p w14:paraId="3A1A07FD" w14:textId="77777777" w:rsidR="008A4808" w:rsidRDefault="008A4808">
      <w:pPr>
        <w:rPr>
          <w:rFonts w:ascii="Playfair Display" w:eastAsia="Playfair Display" w:hAnsi="Playfair Display" w:cs="Playfair Display"/>
          <w:sz w:val="36"/>
          <w:szCs w:val="36"/>
        </w:rPr>
      </w:pPr>
    </w:p>
    <w:p w14:paraId="13B1478F" w14:textId="77777777" w:rsidR="008A4808" w:rsidRDefault="008A4808">
      <w:pPr>
        <w:rPr>
          <w:rFonts w:ascii="Playfair Display" w:eastAsia="Playfair Display" w:hAnsi="Playfair Display" w:cs="Playfair Display"/>
          <w:sz w:val="36"/>
          <w:szCs w:val="36"/>
        </w:rPr>
      </w:pPr>
    </w:p>
    <w:p w14:paraId="1312F9D7" w14:textId="77777777" w:rsidR="008A4808" w:rsidRDefault="008A4808">
      <w:pPr>
        <w:rPr>
          <w:rFonts w:ascii="Playfair Display" w:eastAsia="Playfair Display" w:hAnsi="Playfair Display" w:cs="Playfair Display"/>
          <w:sz w:val="36"/>
          <w:szCs w:val="36"/>
        </w:rPr>
      </w:pPr>
    </w:p>
    <w:p w14:paraId="5A076C1E" w14:textId="77777777" w:rsidR="008A4808" w:rsidRDefault="008A4808">
      <w:pPr>
        <w:rPr>
          <w:rFonts w:ascii="Playfair Display" w:eastAsia="Playfair Display" w:hAnsi="Playfair Display" w:cs="Playfair Display"/>
          <w:sz w:val="36"/>
          <w:szCs w:val="36"/>
        </w:rPr>
      </w:pPr>
    </w:p>
    <w:p w14:paraId="7CBEF02B" w14:textId="77777777" w:rsidR="00AB4E50" w:rsidRDefault="00AB4E50" w:rsidP="000D7808">
      <w:pPr>
        <w:widowControl w:val="0"/>
        <w:ind w:right="360"/>
        <w:jc w:val="both"/>
        <w:rPr>
          <w:rFonts w:ascii="Trebuchet MS" w:eastAsia="Trebuchet MS" w:hAnsi="Trebuchet MS" w:cs="Trebuchet MS"/>
          <w:b/>
          <w:sz w:val="36"/>
          <w:szCs w:val="36"/>
          <w:lang w:val="en-US"/>
        </w:rPr>
      </w:pPr>
    </w:p>
    <w:p w14:paraId="4C1C271E" w14:textId="0FC46763" w:rsidR="005A59DE" w:rsidRPr="00174F99" w:rsidRDefault="005A59DE" w:rsidP="005A59DE">
      <w:pPr>
        <w:widowControl w:val="0"/>
        <w:ind w:left="360" w:right="360"/>
        <w:jc w:val="both"/>
        <w:rPr>
          <w:rFonts w:ascii="Trebuchet MS" w:eastAsia="Trebuchet MS" w:hAnsi="Trebuchet MS" w:cs="Trebuchet MS"/>
          <w:b/>
          <w:color w:val="FF0000"/>
          <w:sz w:val="36"/>
          <w:szCs w:val="36"/>
          <w:lang w:val="en-US"/>
        </w:rPr>
      </w:pPr>
      <w:r w:rsidRPr="00174F99">
        <w:rPr>
          <w:rFonts w:ascii="Trebuchet MS" w:eastAsia="Trebuchet MS" w:hAnsi="Trebuchet MS" w:cs="Trebuchet MS"/>
          <w:b/>
          <w:color w:val="FF0000"/>
          <w:sz w:val="36"/>
          <w:szCs w:val="36"/>
          <w:lang w:val="en-US"/>
        </w:rPr>
        <w:t>Dentin</w:t>
      </w:r>
    </w:p>
    <w:p w14:paraId="6F158682" w14:textId="77777777" w:rsidR="005A59DE" w:rsidRPr="00174F99" w:rsidRDefault="005A59DE" w:rsidP="005A59DE">
      <w:pPr>
        <w:widowControl w:val="0"/>
        <w:ind w:left="360" w:right="360" w:firstLine="360"/>
        <w:jc w:val="both"/>
        <w:rPr>
          <w:rFonts w:ascii="Trebuchet MS" w:eastAsia="Trebuchet MS" w:hAnsi="Trebuchet MS" w:cs="Trebuchet MS"/>
          <w:color w:val="FF0000"/>
          <w:sz w:val="36"/>
          <w:szCs w:val="36"/>
          <w:lang w:val="en-US"/>
        </w:rPr>
      </w:pPr>
    </w:p>
    <w:p w14:paraId="27D6168C" w14:textId="77777777" w:rsidR="005A59DE" w:rsidRPr="00174F99" w:rsidRDefault="005A59DE" w:rsidP="005A59DE">
      <w:pPr>
        <w:widowControl w:val="0"/>
        <w:ind w:left="360" w:right="360" w:firstLine="360"/>
        <w:jc w:val="both"/>
        <w:rPr>
          <w:rFonts w:ascii="Trebuchet MS" w:eastAsia="Trebuchet MS" w:hAnsi="Trebuchet MS" w:cs="Trebuchet MS"/>
          <w:color w:val="9BBB59" w:themeColor="accent3"/>
          <w:sz w:val="28"/>
          <w:szCs w:val="28"/>
          <w:lang w:val="en-US"/>
        </w:rPr>
      </w:pPr>
      <w:r w:rsidRPr="00AB4E50">
        <w:rPr>
          <w:rFonts w:ascii="Trebuchet MS" w:eastAsia="Trebuchet MS" w:hAnsi="Trebuchet MS" w:cs="Trebuchet MS"/>
          <w:sz w:val="28"/>
          <w:szCs w:val="28"/>
          <w:lang w:val="en-US"/>
        </w:rPr>
        <w:t xml:space="preserve">The dentin provides the bulk and general form of the tooth and is characterized </w:t>
      </w:r>
      <w:r w:rsidRPr="00174F99">
        <w:rPr>
          <w:rFonts w:ascii="Trebuchet MS" w:eastAsia="Trebuchet MS" w:hAnsi="Trebuchet MS" w:cs="Trebuchet MS"/>
          <w:color w:val="9BBB59" w:themeColor="accent3"/>
          <w:sz w:val="28"/>
          <w:szCs w:val="28"/>
          <w:lang w:val="en-US"/>
        </w:rPr>
        <w:t>as a hard tissue with tubules throughout its thickness.</w:t>
      </w:r>
    </w:p>
    <w:p w14:paraId="6EF3171E" w14:textId="67CC0E72" w:rsidR="0026510B" w:rsidRPr="00AB4E50" w:rsidRDefault="005A59DE" w:rsidP="000D7808">
      <w:pPr>
        <w:widowControl w:val="0"/>
        <w:ind w:left="360" w:right="360" w:firstLine="360"/>
        <w:jc w:val="both"/>
        <w:rPr>
          <w:rFonts w:ascii="Trebuchet MS" w:eastAsia="Trebuchet MS" w:hAnsi="Trebuchet MS" w:cs="Trebuchet MS"/>
          <w:sz w:val="28"/>
          <w:szCs w:val="28"/>
          <w:lang w:val="en-US"/>
        </w:rPr>
      </w:pPr>
      <w:r w:rsidRPr="00AB4E50">
        <w:rPr>
          <w:rFonts w:ascii="Trebuchet MS" w:eastAsia="Trebuchet MS" w:hAnsi="Trebuchet MS" w:cs="Trebuchet MS"/>
          <w:sz w:val="28"/>
          <w:szCs w:val="28"/>
          <w:lang w:val="en-US"/>
        </w:rPr>
        <w:t xml:space="preserve"> Since it begins to form slightly before the enamel, it determines the shape of the crown, including the cusps and ridges, and the number and size of the roots. As a living tissue it contains within its tubules the processes of the specialized cells, the odontoblasts.</w:t>
      </w:r>
    </w:p>
    <w:p w14:paraId="167723D1" w14:textId="7ECABCCD" w:rsidR="005A59DE" w:rsidRPr="0026510B" w:rsidRDefault="005A59DE" w:rsidP="0026510B">
      <w:pPr>
        <w:widowControl w:val="0"/>
        <w:ind w:left="360" w:right="360"/>
        <w:jc w:val="both"/>
        <w:rPr>
          <w:rFonts w:ascii="Trebuchet MS" w:eastAsia="Trebuchet MS" w:hAnsi="Trebuchet MS" w:cs="Trebuchet MS"/>
          <w:color w:val="FF0000"/>
          <w:sz w:val="36"/>
          <w:szCs w:val="36"/>
          <w:lang w:val="en-US"/>
        </w:rPr>
      </w:pPr>
      <w:r w:rsidRPr="00174F99">
        <w:rPr>
          <w:rFonts w:ascii="Trebuchet MS" w:eastAsia="Trebuchet MS" w:hAnsi="Trebuchet MS" w:cs="Trebuchet MS"/>
          <w:b/>
          <w:color w:val="FF0000"/>
          <w:sz w:val="36"/>
          <w:szCs w:val="36"/>
          <w:lang w:val="en-US"/>
        </w:rPr>
        <w:t>PHYSICAL AND CHEMICAL PROPERTIES</w:t>
      </w:r>
      <w:r w:rsidRPr="00174F99">
        <w:rPr>
          <w:rFonts w:ascii="Calibri" w:eastAsia="Calibri" w:hAnsi="Calibri" w:cs="Calibri"/>
          <w:noProof/>
          <w:color w:val="FF0000"/>
          <w:sz w:val="36"/>
          <w:szCs w:val="36"/>
          <w:lang w:val="en-US"/>
        </w:rPr>
        <mc:AlternateContent>
          <mc:Choice Requires="wpg">
            <w:drawing>
              <wp:anchor distT="0" distB="0" distL="114300" distR="114300" simplePos="0" relativeHeight="251659264" behindDoc="0" locked="0" layoutInCell="1" hidden="0" allowOverlap="1" wp14:anchorId="12AAAC61" wp14:editId="38A3C168">
                <wp:simplePos x="0" y="0"/>
                <wp:positionH relativeFrom="column">
                  <wp:posOffset>5689600</wp:posOffset>
                </wp:positionH>
                <wp:positionV relativeFrom="paragraph">
                  <wp:posOffset>3238500</wp:posOffset>
                </wp:positionV>
                <wp:extent cx="1270" cy="2574290"/>
                <wp:effectExtent l="0" t="0" r="0" b="0"/>
                <wp:wrapNone/>
                <wp:docPr id="1" name="Group 1"/>
                <wp:cNvGraphicFramePr/>
                <a:graphic xmlns:a="http://schemas.openxmlformats.org/drawingml/2006/main">
                  <a:graphicData uri="http://schemas.microsoft.com/office/word/2010/wordprocessingGroup">
                    <wpg:wgp>
                      <wpg:cNvGrpSpPr/>
                      <wpg:grpSpPr>
                        <a:xfrm>
                          <a:off x="0" y="0"/>
                          <a:ext cx="1270" cy="2574290"/>
                          <a:chOff x="6011750" y="2492850"/>
                          <a:chExt cx="13450" cy="2574300"/>
                        </a:xfrm>
                      </wpg:grpSpPr>
                      <wpg:grpSp>
                        <wpg:cNvPr id="140607988" name="Group 140607988"/>
                        <wpg:cNvGrpSpPr/>
                        <wpg:grpSpPr>
                          <a:xfrm>
                            <a:off x="6018465" y="2492855"/>
                            <a:ext cx="1270" cy="2574290"/>
                            <a:chOff x="0" y="0"/>
                            <a:chExt cx="1270" cy="2574290"/>
                          </a:xfrm>
                        </wpg:grpSpPr>
                        <wps:wsp>
                          <wps:cNvPr id="475041461" name="Rectangle 475041461"/>
                          <wps:cNvSpPr/>
                          <wps:spPr>
                            <a:xfrm>
                              <a:off x="0" y="0"/>
                              <a:ext cx="1250" cy="2574275"/>
                            </a:xfrm>
                            <a:prstGeom prst="rect">
                              <a:avLst/>
                            </a:prstGeom>
                            <a:noFill/>
                            <a:ln>
                              <a:noFill/>
                            </a:ln>
                          </wps:spPr>
                          <wps:txbx>
                            <w:txbxContent>
                              <w:p w14:paraId="003EE683" w14:textId="77777777" w:rsidR="005A59DE" w:rsidRDefault="005A59DE" w:rsidP="005A59DE">
                                <w:pPr>
                                  <w:textDirection w:val="btLr"/>
                                </w:pPr>
                              </w:p>
                            </w:txbxContent>
                          </wps:txbx>
                          <wps:bodyPr spcFirstLastPara="1" wrap="square" lIns="91425" tIns="91425" rIns="91425" bIns="91425" anchor="ctr" anchorCtr="0">
                            <a:noAutofit/>
                          </wps:bodyPr>
                        </wps:wsp>
                        <wps:wsp>
                          <wps:cNvPr id="1532223387" name="Freeform: Shape 1532223387"/>
                          <wps:cNvSpPr/>
                          <wps:spPr>
                            <a:xfrm>
                              <a:off x="0" y="0"/>
                              <a:ext cx="1270" cy="2574290"/>
                            </a:xfrm>
                            <a:custGeom>
                              <a:avLst/>
                              <a:gdLst/>
                              <a:ahLst/>
                              <a:cxnLst/>
                              <a:rect l="l" t="t" r="r" b="b"/>
                              <a:pathLst>
                                <a:path w="1270" h="2574290" extrusionOk="0">
                                  <a:moveTo>
                                    <a:pt x="0" y="2573655"/>
                                  </a:moveTo>
                                  <a:lnTo>
                                    <a:pt x="0" y="0"/>
                                  </a:lnTo>
                                </a:path>
                              </a:pathLst>
                            </a:custGeom>
                            <a:solidFill>
                              <a:srgbClr val="FFFFFF"/>
                            </a:solidFill>
                            <a:ln w="13425" cap="flat" cmpd="sng">
                              <a:solidFill>
                                <a:srgbClr val="2B2B44"/>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12AAAC61" id="Group 1" o:spid="_x0000_s1026" style="position:absolute;left:0;text-align:left;margin-left:448pt;margin-top:255pt;width:.1pt;height:202.7pt;z-index:251659264" coordorigin="60117,24928" coordsize="134,25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">
                <v:group id="Group 140607988" o:spid="_x0000_s1027" style="position:absolute;left:60184;top:24928;width:13;height:25743" coordsize="12,2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">
                  <v:rect id="Rectangle 475041461" o:spid="_x0000_s1028" style="position:absolute;width:12;height:25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" filled="f" stroked="f">
                    <v:textbox inset="2.53958mm,2.53958mm,2.53958mm,2.53958mm">
                      <w:txbxContent>
                        <w:p w14:paraId="003EE683" w14:textId="77777777" w:rsidR="005A59DE" w:rsidRDefault="005A59DE" w:rsidP="005A59DE">
                          <w:pPr>
                            <w:textDirection w:val="btLr"/>
                          </w:pPr>
                        </w:p>
                      </w:txbxContent>
                    </v:textbox>
                  </v:rect>
                  <v:shape id="Freeform: Shape 1532223387" o:spid="_x0000_s1029" style="position:absolute;width:12;height:25742;visibility:visible;mso-wrap-style:square;v-text-anchor:middle" coordsize="1270,257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" path="m,2573655l,e" strokecolor="#2b2b44" strokeweight=".37292mm">
                    <v:stroke startarrowwidth="narrow" startarrowlength="short" endarrowwidth="narrow" endarrowlength="short"/>
                    <v:path arrowok="t" o:extrusionok="f"/>
                  </v:shape>
                </v:group>
              </v:group>
            </w:pict>
          </mc:Fallback>
        </mc:AlternateContent>
      </w:r>
    </w:p>
    <w:p w14:paraId="7820C2B7" w14:textId="77777777" w:rsidR="00174F99" w:rsidRDefault="005A59DE" w:rsidP="005A59DE">
      <w:pPr>
        <w:widowControl w:val="0"/>
        <w:ind w:left="360" w:right="360" w:firstLine="360"/>
        <w:jc w:val="both"/>
        <w:rPr>
          <w:rFonts w:ascii="Trebuchet MS" w:eastAsia="Trebuchet MS" w:hAnsi="Trebuchet MS" w:cs="Trebuchet MS"/>
          <w:sz w:val="28"/>
          <w:szCs w:val="28"/>
          <w:lang w:val="en-US"/>
        </w:rPr>
      </w:pPr>
      <w:r w:rsidRPr="00AB4E50">
        <w:rPr>
          <w:rFonts w:ascii="Trebuchet MS" w:eastAsia="Trebuchet MS" w:hAnsi="Trebuchet MS" w:cs="Trebuchet MS"/>
          <w:sz w:val="28"/>
          <w:szCs w:val="28"/>
          <w:lang w:val="en-US"/>
        </w:rPr>
        <w:t xml:space="preserve">In the teeth of young individuals the dentin usually is light yellowish in color, becoming darker with age. Unlike enamel, which is very hard and brittle, dentin is viscoelastic and subject to slight deformation. It is somewhat harder than bone but considerably softer than enamel.  Dentin  hardness  varies  slightly between tooth types and between crown and root dentin. Dentin consists of </w:t>
      </w:r>
      <w:r w:rsidRPr="00174F99">
        <w:rPr>
          <w:rFonts w:ascii="Trebuchet MS" w:eastAsia="Trebuchet MS" w:hAnsi="Trebuchet MS" w:cs="Trebuchet MS"/>
          <w:color w:val="FF0000"/>
          <w:sz w:val="28"/>
          <w:szCs w:val="28"/>
          <w:lang w:val="en-US"/>
        </w:rPr>
        <w:t xml:space="preserve">35% organic matter and water </w:t>
      </w:r>
      <w:r w:rsidRPr="00AB4E50">
        <w:rPr>
          <w:rFonts w:ascii="Trebuchet MS" w:eastAsia="Trebuchet MS" w:hAnsi="Trebuchet MS" w:cs="Trebuchet MS"/>
          <w:sz w:val="28"/>
          <w:szCs w:val="28"/>
          <w:lang w:val="en-US"/>
        </w:rPr>
        <w:t xml:space="preserve">and </w:t>
      </w:r>
      <w:r w:rsidRPr="00174F99">
        <w:rPr>
          <w:rFonts w:ascii="Trebuchet MS" w:eastAsia="Trebuchet MS" w:hAnsi="Trebuchet MS" w:cs="Trebuchet MS"/>
          <w:color w:val="9BBB59" w:themeColor="accent3"/>
          <w:sz w:val="28"/>
          <w:szCs w:val="28"/>
          <w:lang w:val="en-US"/>
        </w:rPr>
        <w:t xml:space="preserve">65% inorganic material. </w:t>
      </w:r>
    </w:p>
    <w:p w14:paraId="73A5D0C7" w14:textId="7E3FFED9" w:rsidR="005A59DE" w:rsidRPr="00AB4E50" w:rsidRDefault="005A59DE" w:rsidP="005A59DE">
      <w:pPr>
        <w:widowControl w:val="0"/>
        <w:ind w:left="360" w:right="360" w:firstLine="360"/>
        <w:jc w:val="both"/>
        <w:rPr>
          <w:rFonts w:ascii="Trebuchet MS" w:eastAsia="Trebuchet MS" w:hAnsi="Trebuchet MS" w:cs="Trebuchet MS"/>
          <w:sz w:val="28"/>
          <w:szCs w:val="28"/>
          <w:lang w:val="en-US"/>
        </w:rPr>
      </w:pPr>
      <w:r w:rsidRPr="00AB4E50">
        <w:rPr>
          <w:rFonts w:ascii="Trebuchet MS" w:eastAsia="Trebuchet MS" w:hAnsi="Trebuchet MS" w:cs="Trebuchet MS"/>
          <w:sz w:val="28"/>
          <w:szCs w:val="28"/>
          <w:lang w:val="en-US"/>
        </w:rPr>
        <w:t xml:space="preserve">The organic substance consists of </w:t>
      </w:r>
      <w:r w:rsidRPr="00174F99">
        <w:rPr>
          <w:rFonts w:ascii="Trebuchet MS" w:eastAsia="Trebuchet MS" w:hAnsi="Trebuchet MS" w:cs="Trebuchet MS"/>
          <w:color w:val="FF0000"/>
          <w:sz w:val="28"/>
          <w:szCs w:val="28"/>
          <w:lang w:val="en-US"/>
        </w:rPr>
        <w:t xml:space="preserve">collagenous fibrils </w:t>
      </w:r>
      <w:r w:rsidRPr="00AB4E50">
        <w:rPr>
          <w:rFonts w:ascii="Trebuchet MS" w:eastAsia="Trebuchet MS" w:hAnsi="Trebuchet MS" w:cs="Trebuchet MS"/>
          <w:sz w:val="28"/>
          <w:szCs w:val="28"/>
          <w:lang w:val="en-US"/>
        </w:rPr>
        <w:t xml:space="preserve">embedded in the ground substance of mucopolysaccharides. </w:t>
      </w:r>
      <w:r w:rsidR="00174F99">
        <w:rPr>
          <w:rFonts w:ascii="Trebuchet MS" w:eastAsia="Trebuchet MS" w:hAnsi="Trebuchet MS" w:cs="Trebuchet MS"/>
          <w:sz w:val="28"/>
          <w:szCs w:val="28"/>
          <w:lang w:val="en-US"/>
        </w:rPr>
        <w:t xml:space="preserve"> </w:t>
      </w:r>
    </w:p>
    <w:p w14:paraId="3B4769EA" w14:textId="77777777" w:rsidR="005A59DE" w:rsidRPr="00AB4E50" w:rsidRDefault="005A59DE" w:rsidP="005A59DE">
      <w:pPr>
        <w:widowControl w:val="0"/>
        <w:ind w:left="360" w:right="360" w:firstLine="360"/>
        <w:jc w:val="both"/>
        <w:rPr>
          <w:rFonts w:ascii="Trebuchet MS" w:eastAsia="Trebuchet MS" w:hAnsi="Trebuchet MS" w:cs="Trebuchet MS"/>
          <w:sz w:val="28"/>
          <w:szCs w:val="28"/>
          <w:lang w:val="en-US"/>
        </w:rPr>
      </w:pPr>
    </w:p>
    <w:p w14:paraId="2382FA31" w14:textId="1A532C5E" w:rsidR="00174F99" w:rsidRDefault="005A59DE" w:rsidP="000D7808">
      <w:pPr>
        <w:widowControl w:val="0"/>
        <w:ind w:left="360" w:right="360"/>
        <w:jc w:val="both"/>
        <w:rPr>
          <w:rFonts w:ascii="Trebuchet MS" w:eastAsia="Trebuchet MS" w:hAnsi="Trebuchet MS" w:cs="Trebuchet MS"/>
          <w:sz w:val="28"/>
          <w:szCs w:val="28"/>
          <w:lang w:val="en-US"/>
        </w:rPr>
      </w:pPr>
      <w:r w:rsidRPr="00AB4E50">
        <w:rPr>
          <w:rFonts w:ascii="Trebuchet MS" w:eastAsia="Trebuchet MS" w:hAnsi="Trebuchet MS" w:cs="Trebuchet MS"/>
          <w:sz w:val="28"/>
          <w:szCs w:val="28"/>
          <w:lang w:val="en-US"/>
        </w:rPr>
        <w:t>The inorganic component</w:t>
      </w:r>
      <w:r w:rsidR="00174F99">
        <w:rPr>
          <w:rFonts w:ascii="Trebuchet MS" w:eastAsia="Trebuchet MS" w:hAnsi="Trebuchet MS" w:cs="Trebuchet MS"/>
          <w:sz w:val="28"/>
          <w:szCs w:val="28"/>
          <w:lang w:val="en-US"/>
        </w:rPr>
        <w:t xml:space="preserve"> is </w:t>
      </w:r>
      <w:r w:rsidRPr="00AB4E50">
        <w:rPr>
          <w:rFonts w:ascii="Trebuchet MS" w:eastAsia="Trebuchet MS" w:hAnsi="Trebuchet MS" w:cs="Trebuchet MS"/>
          <w:sz w:val="28"/>
          <w:szCs w:val="28"/>
          <w:lang w:val="en-US"/>
        </w:rPr>
        <w:t xml:space="preserve">consist of </w:t>
      </w:r>
      <w:r w:rsidRPr="00174F99">
        <w:rPr>
          <w:rFonts w:ascii="Trebuchet MS" w:eastAsia="Trebuchet MS" w:hAnsi="Trebuchet MS" w:cs="Trebuchet MS"/>
          <w:color w:val="9BBB59" w:themeColor="accent3"/>
          <w:sz w:val="28"/>
          <w:szCs w:val="28"/>
          <w:lang w:val="en-US"/>
        </w:rPr>
        <w:t>hydroxyapatite</w:t>
      </w:r>
      <w:r w:rsidRPr="00AB4E50">
        <w:rPr>
          <w:rFonts w:ascii="Trebuchet MS" w:eastAsia="Trebuchet MS" w:hAnsi="Trebuchet MS" w:cs="Trebuchet MS"/>
          <w:sz w:val="28"/>
          <w:szCs w:val="28"/>
          <w:lang w:val="en-US"/>
        </w:rPr>
        <w:t xml:space="preserve">, as in bone, cementum, and enamel. </w:t>
      </w:r>
      <w:r w:rsidR="00174F99">
        <w:rPr>
          <w:rFonts w:ascii="Trebuchet MS" w:eastAsia="Trebuchet MS" w:hAnsi="Trebuchet MS" w:cs="Trebuchet MS"/>
          <w:sz w:val="28"/>
          <w:szCs w:val="28"/>
          <w:lang w:val="en-US"/>
        </w:rPr>
        <w:t xml:space="preserve">  </w:t>
      </w:r>
      <w:r w:rsidRPr="00AB4E50">
        <w:rPr>
          <w:rFonts w:ascii="Trebuchet MS" w:eastAsia="Trebuchet MS" w:hAnsi="Trebuchet MS" w:cs="Trebuchet MS"/>
          <w:sz w:val="28"/>
          <w:szCs w:val="28"/>
          <w:lang w:val="en-US"/>
        </w:rPr>
        <w:t xml:space="preserve"> Dentin also contains small amounts of phosphates, carbonates, and sulfates. The crystals are poor in calcium but rich in carbon when compared to enamel.</w:t>
      </w:r>
      <w:r w:rsidR="00174F99" w:rsidRPr="00174F99">
        <w:rPr>
          <w:rFonts w:ascii="Trebuchet MS" w:eastAsia="Trebuchet MS" w:hAnsi="Trebuchet MS" w:cs="Trebuchet MS"/>
          <w:sz w:val="28"/>
          <w:szCs w:val="28"/>
          <w:lang w:val="en-US"/>
        </w:rPr>
        <w:t xml:space="preserve"> </w:t>
      </w:r>
      <w:r w:rsidR="00174F99" w:rsidRPr="00AB4E50">
        <w:rPr>
          <w:rFonts w:ascii="Trebuchet MS" w:eastAsia="Trebuchet MS" w:hAnsi="Trebuchet MS" w:cs="Trebuchet MS"/>
          <w:sz w:val="28"/>
          <w:szCs w:val="28"/>
          <w:lang w:val="en-US"/>
        </w:rPr>
        <w:t xml:space="preserve">Organic and  inorganic substances can  be separated by decalcification </w:t>
      </w:r>
      <w:r w:rsidR="00174F99">
        <w:rPr>
          <w:rFonts w:ascii="Trebuchet MS" w:eastAsia="Trebuchet MS" w:hAnsi="Trebuchet MS" w:cs="Trebuchet MS"/>
          <w:sz w:val="28"/>
          <w:szCs w:val="28"/>
          <w:lang w:val="en-US"/>
        </w:rPr>
        <w:t>.</w:t>
      </w:r>
      <w:r w:rsidR="00174F99" w:rsidRPr="00AB4E50">
        <w:rPr>
          <w:rFonts w:ascii="Trebuchet MS" w:eastAsia="Trebuchet MS" w:hAnsi="Trebuchet MS" w:cs="Trebuchet MS"/>
          <w:sz w:val="28"/>
          <w:szCs w:val="28"/>
          <w:lang w:val="en-US"/>
        </w:rPr>
        <w:t xml:space="preserve"> </w:t>
      </w:r>
      <w:r w:rsidR="00174F99">
        <w:rPr>
          <w:rFonts w:ascii="Trebuchet MS" w:eastAsia="Trebuchet MS" w:hAnsi="Trebuchet MS" w:cs="Trebuchet MS"/>
          <w:sz w:val="28"/>
          <w:szCs w:val="28"/>
          <w:lang w:val="en-US"/>
        </w:rPr>
        <w:t xml:space="preserve"> </w:t>
      </w:r>
    </w:p>
    <w:p w14:paraId="06363B8F" w14:textId="77777777" w:rsidR="00174F99" w:rsidRDefault="00174F99" w:rsidP="00174F99">
      <w:pPr>
        <w:widowControl w:val="0"/>
        <w:ind w:left="360" w:right="360"/>
        <w:jc w:val="both"/>
        <w:rPr>
          <w:rFonts w:ascii="Trebuchet MS" w:eastAsia="Trebuchet MS" w:hAnsi="Trebuchet MS" w:cs="Trebuchet MS"/>
          <w:b/>
          <w:color w:val="FF0000"/>
          <w:sz w:val="36"/>
          <w:szCs w:val="36"/>
          <w:lang w:val="en-US"/>
        </w:rPr>
      </w:pPr>
      <w:r w:rsidRPr="00174F99">
        <w:rPr>
          <w:rFonts w:ascii="Trebuchet MS" w:eastAsia="Trebuchet MS" w:hAnsi="Trebuchet MS" w:cs="Trebuchet MS"/>
          <w:b/>
          <w:color w:val="FF0000"/>
          <w:sz w:val="36"/>
          <w:szCs w:val="36"/>
          <w:lang w:val="en-US"/>
        </w:rPr>
        <w:t>Dentinogenesis</w:t>
      </w:r>
      <w:r>
        <w:rPr>
          <w:rFonts w:ascii="Trebuchet MS" w:eastAsia="Trebuchet MS" w:hAnsi="Trebuchet MS" w:cs="Trebuchet MS"/>
          <w:b/>
          <w:color w:val="FF0000"/>
          <w:sz w:val="36"/>
          <w:szCs w:val="36"/>
          <w:lang w:val="en-US"/>
        </w:rPr>
        <w:t xml:space="preserve"> </w:t>
      </w:r>
    </w:p>
    <w:p w14:paraId="355028D9" w14:textId="0CCF427C" w:rsidR="00174F99" w:rsidRPr="00850A72" w:rsidRDefault="00174F99" w:rsidP="00174F99">
      <w:pPr>
        <w:widowControl w:val="0"/>
        <w:ind w:left="360" w:right="360"/>
        <w:jc w:val="both"/>
        <w:rPr>
          <w:rFonts w:ascii="Trebuchet MS" w:eastAsia="Trebuchet MS" w:hAnsi="Trebuchet MS" w:cs="Trebuchet MS"/>
          <w:b/>
          <w:color w:val="9BBB59" w:themeColor="accent3"/>
          <w:sz w:val="36"/>
          <w:szCs w:val="36"/>
          <w:lang w:val="en-US"/>
        </w:rPr>
      </w:pPr>
      <w:r w:rsidRPr="00AB4E50">
        <w:rPr>
          <w:rFonts w:ascii="Trebuchet MS" w:eastAsia="Trebuchet MS" w:hAnsi="Trebuchet MS" w:cs="Trebuchet MS"/>
          <w:sz w:val="28"/>
          <w:szCs w:val="28"/>
          <w:lang w:val="en-US"/>
        </w:rPr>
        <w:t xml:space="preserve">Dentinogenesis begins at the cusp tips after the odontoblasts have differentiated and begin collagen production. </w:t>
      </w:r>
      <w:r w:rsidRPr="00174F99">
        <w:rPr>
          <w:rFonts w:ascii="Trebuchet MS" w:eastAsia="Trebuchet MS" w:hAnsi="Trebuchet MS" w:cs="Trebuchet MS"/>
          <w:color w:val="FF0000"/>
          <w:sz w:val="28"/>
          <w:szCs w:val="28"/>
          <w:lang w:val="en-US"/>
        </w:rPr>
        <w:t xml:space="preserve">Dentinogenesis is a </w:t>
      </w:r>
      <w:r w:rsidRPr="00174F99">
        <w:rPr>
          <w:rFonts w:ascii="Trebuchet MS" w:eastAsia="Trebuchet MS" w:hAnsi="Trebuchet MS" w:cs="Trebuchet MS"/>
          <w:color w:val="FF0000"/>
          <w:sz w:val="28"/>
          <w:szCs w:val="28"/>
          <w:lang w:val="en-US"/>
        </w:rPr>
        <w:lastRenderedPageBreak/>
        <w:t xml:space="preserve">two-phase sequence in which </w:t>
      </w:r>
      <w:r w:rsidRPr="00850A72">
        <w:rPr>
          <w:rFonts w:ascii="Trebuchet MS" w:eastAsia="Trebuchet MS" w:hAnsi="Trebuchet MS" w:cs="Trebuchet MS"/>
          <w:color w:val="9BBB59" w:themeColor="accent3"/>
          <w:sz w:val="28"/>
          <w:szCs w:val="28"/>
          <w:lang w:val="en-US"/>
        </w:rPr>
        <w:t xml:space="preserve">a collagen matrix is first formed and then calcified.  </w:t>
      </w:r>
    </w:p>
    <w:p w14:paraId="56688303" w14:textId="12857AC1" w:rsidR="00174F99" w:rsidRPr="00AB4E50" w:rsidRDefault="00174F99" w:rsidP="00174F99">
      <w:pPr>
        <w:widowControl w:val="0"/>
        <w:ind w:right="360"/>
        <w:jc w:val="both"/>
        <w:rPr>
          <w:rFonts w:ascii="Trebuchet MS" w:eastAsia="Trebuchet MS" w:hAnsi="Trebuchet MS" w:cs="Trebuchet MS"/>
          <w:sz w:val="28"/>
          <w:szCs w:val="28"/>
          <w:lang w:val="en-US"/>
        </w:rPr>
      </w:pPr>
      <w:r w:rsidRPr="00AB4E50">
        <w:rPr>
          <w:rFonts w:ascii="Trebuchet MS" w:eastAsia="Trebuchet MS" w:hAnsi="Trebuchet MS" w:cs="Trebuchet MS"/>
          <w:noProof/>
          <w:sz w:val="28"/>
          <w:szCs w:val="28"/>
        </w:rPr>
        <w:drawing>
          <wp:inline distT="114300" distB="114300" distL="114300" distR="114300" wp14:anchorId="25C306DF" wp14:editId="48D72158">
            <wp:extent cx="5461312" cy="2184704"/>
            <wp:effectExtent l="0" t="0" r="6350" b="635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737" r="-737"/>
                    <a:stretch>
                      <a:fillRect/>
                    </a:stretch>
                  </pic:blipFill>
                  <pic:spPr>
                    <a:xfrm>
                      <a:off x="0" y="0"/>
                      <a:ext cx="5589957" cy="2236166"/>
                    </a:xfrm>
                    <a:prstGeom prst="rect">
                      <a:avLst/>
                    </a:prstGeom>
                    <a:ln/>
                  </pic:spPr>
                </pic:pic>
              </a:graphicData>
            </a:graphic>
          </wp:inline>
        </w:drawing>
      </w:r>
    </w:p>
    <w:p w14:paraId="3DB70728" w14:textId="0276E462" w:rsidR="005A59DE" w:rsidRPr="00AB4E50" w:rsidRDefault="005A59DE" w:rsidP="005A59DE">
      <w:pPr>
        <w:widowControl w:val="0"/>
        <w:ind w:left="360" w:right="360" w:firstLine="360"/>
        <w:jc w:val="both"/>
        <w:rPr>
          <w:rFonts w:ascii="Trebuchet MS" w:eastAsia="Trebuchet MS" w:hAnsi="Trebuchet MS" w:cs="Trebuchet MS"/>
          <w:sz w:val="28"/>
          <w:szCs w:val="28"/>
          <w:lang w:val="en-US"/>
        </w:rPr>
      </w:pPr>
    </w:p>
    <w:p w14:paraId="13D4428E" w14:textId="77777777" w:rsidR="00850A72" w:rsidRDefault="00850A72" w:rsidP="00850A72">
      <w:pPr>
        <w:widowControl w:val="0"/>
        <w:ind w:left="360" w:right="360" w:firstLine="360"/>
        <w:jc w:val="both"/>
        <w:rPr>
          <w:rFonts w:ascii="Trebuchet MS" w:eastAsia="Trebuchet MS" w:hAnsi="Trebuchet MS" w:cs="Trebuchet MS"/>
          <w:sz w:val="28"/>
          <w:szCs w:val="28"/>
          <w:lang w:val="en-US"/>
        </w:rPr>
      </w:pPr>
      <w:r w:rsidRPr="00AB4E50">
        <w:rPr>
          <w:rFonts w:ascii="Trebuchet MS" w:eastAsia="Trebuchet MS" w:hAnsi="Trebuchet MS" w:cs="Trebuchet MS"/>
          <w:sz w:val="28"/>
          <w:szCs w:val="28"/>
          <w:lang w:val="en-US"/>
        </w:rPr>
        <w:t xml:space="preserve">After    differentiation, the    odontoblast    begins secreting an organic matrix </w:t>
      </w:r>
      <w:r w:rsidRPr="00850A72">
        <w:rPr>
          <w:rFonts w:ascii="Trebuchet MS" w:eastAsia="Trebuchet MS" w:hAnsi="Trebuchet MS" w:cs="Trebuchet MS"/>
          <w:color w:val="9BBB59" w:themeColor="accent3"/>
          <w:sz w:val="28"/>
          <w:szCs w:val="28"/>
          <w:lang w:val="en-US"/>
        </w:rPr>
        <w:t>around the area directly adjacent to the IEE</w:t>
      </w:r>
      <w:r w:rsidRPr="00AB4E50">
        <w:rPr>
          <w:rFonts w:ascii="Trebuchet MS" w:eastAsia="Trebuchet MS" w:hAnsi="Trebuchet MS" w:cs="Trebuchet MS"/>
          <w:sz w:val="28"/>
          <w:szCs w:val="28"/>
          <w:lang w:val="en-US"/>
        </w:rPr>
        <w:t xml:space="preserve">, closest to the area of the future cusp of a tooth.  </w:t>
      </w:r>
    </w:p>
    <w:p w14:paraId="09D10D09" w14:textId="77777777" w:rsidR="00850A72" w:rsidRDefault="00850A72" w:rsidP="00850A72">
      <w:pPr>
        <w:widowControl w:val="0"/>
        <w:ind w:left="360" w:right="360" w:firstLine="360"/>
        <w:jc w:val="both"/>
        <w:rPr>
          <w:rFonts w:ascii="Trebuchet MS" w:eastAsia="Trebuchet MS" w:hAnsi="Trebuchet MS" w:cs="Trebuchet MS"/>
          <w:sz w:val="28"/>
          <w:szCs w:val="28"/>
          <w:lang w:val="en-US"/>
        </w:rPr>
      </w:pPr>
    </w:p>
    <w:p w14:paraId="27FF079F" w14:textId="510A0E3D" w:rsidR="00850A72" w:rsidRDefault="00850A72" w:rsidP="00850A72">
      <w:pPr>
        <w:widowControl w:val="0"/>
        <w:ind w:left="360" w:right="360" w:firstLine="360"/>
        <w:jc w:val="both"/>
        <w:rPr>
          <w:rFonts w:ascii="Trebuchet MS" w:eastAsia="Trebuchet MS" w:hAnsi="Trebuchet MS" w:cs="Trebuchet MS"/>
          <w:color w:val="FF0000"/>
          <w:sz w:val="28"/>
          <w:szCs w:val="28"/>
          <w:lang w:val="en-US"/>
        </w:rPr>
      </w:pPr>
      <w:r w:rsidRPr="00AB4E50">
        <w:rPr>
          <w:rFonts w:ascii="Trebuchet MS" w:eastAsia="Trebuchet MS" w:hAnsi="Trebuchet MS" w:cs="Trebuchet MS"/>
          <w:sz w:val="28"/>
          <w:szCs w:val="28"/>
          <w:lang w:val="en-US"/>
        </w:rPr>
        <w:t xml:space="preserve">The odontoblasts begin to move toward the center of the tooth, forming </w:t>
      </w:r>
      <w:r w:rsidRPr="00850A72">
        <w:rPr>
          <w:rFonts w:ascii="Trebuchet MS" w:eastAsia="Trebuchet MS" w:hAnsi="Trebuchet MS" w:cs="Trebuchet MS"/>
          <w:color w:val="FF0000"/>
          <w:sz w:val="28"/>
          <w:szCs w:val="28"/>
          <w:lang w:val="en-US"/>
        </w:rPr>
        <w:t>an extension called the odontoblast process.</w:t>
      </w:r>
    </w:p>
    <w:p w14:paraId="78D59378" w14:textId="77777777" w:rsidR="00A54198" w:rsidRPr="00AB4E50" w:rsidRDefault="00A54198" w:rsidP="00850A72">
      <w:pPr>
        <w:widowControl w:val="0"/>
        <w:ind w:left="360" w:right="360" w:firstLine="360"/>
        <w:jc w:val="both"/>
        <w:rPr>
          <w:rFonts w:ascii="Trebuchet MS" w:eastAsia="Trebuchet MS" w:hAnsi="Trebuchet MS" w:cs="Trebuchet MS"/>
          <w:sz w:val="28"/>
          <w:szCs w:val="28"/>
          <w:lang w:val="en-US"/>
        </w:rPr>
      </w:pPr>
    </w:p>
    <w:p w14:paraId="0698FF9F" w14:textId="77777777" w:rsidR="00132831" w:rsidRDefault="00A54198" w:rsidP="00A54198">
      <w:pPr>
        <w:ind w:left="360" w:right="360" w:firstLine="360"/>
        <w:jc w:val="both"/>
        <w:rPr>
          <w:rFonts w:ascii="Trebuchet MS" w:eastAsia="Trebuchet MS" w:hAnsi="Trebuchet MS" w:cs="Trebuchet MS"/>
          <w:sz w:val="28"/>
          <w:szCs w:val="28"/>
        </w:rPr>
      </w:pPr>
      <w:r w:rsidRPr="00A54198">
        <w:rPr>
          <w:rFonts w:ascii="Trebuchet MS" w:eastAsia="Trebuchet MS" w:hAnsi="Trebuchet MS" w:cs="Trebuchet MS"/>
          <w:sz w:val="28"/>
          <w:szCs w:val="28"/>
        </w:rPr>
        <w:t xml:space="preserve">The odontoblast processes are the </w:t>
      </w:r>
      <w:r w:rsidRPr="00A54198">
        <w:rPr>
          <w:rFonts w:ascii="Trebuchet MS" w:eastAsia="Trebuchet MS" w:hAnsi="Trebuchet MS" w:cs="Trebuchet MS"/>
          <w:color w:val="FF0000"/>
          <w:sz w:val="28"/>
          <w:szCs w:val="28"/>
        </w:rPr>
        <w:t xml:space="preserve">cytoplasmic extensions of the odontoblasts. </w:t>
      </w:r>
      <w:r w:rsidRPr="00A54198">
        <w:rPr>
          <w:rFonts w:ascii="Trebuchet MS" w:eastAsia="Trebuchet MS" w:hAnsi="Trebuchet MS" w:cs="Trebuchet MS"/>
          <w:sz w:val="28"/>
          <w:szCs w:val="28"/>
        </w:rPr>
        <w:t xml:space="preserve">The odontoblast cells reside in the peripheral pulp at the pulp-predentin border and their processes extend into the dentinal tubules . The processes are largest in diameter near the pulp (3 to 4 μm) and taper to approximately 1 μm further into the dentin. </w:t>
      </w:r>
    </w:p>
    <w:p w14:paraId="45D6C2B2" w14:textId="77777777" w:rsidR="00132831" w:rsidRDefault="00132831" w:rsidP="00A54198">
      <w:pPr>
        <w:ind w:left="360" w:right="360" w:firstLine="360"/>
        <w:jc w:val="both"/>
        <w:rPr>
          <w:rFonts w:ascii="Trebuchet MS" w:eastAsia="Trebuchet MS" w:hAnsi="Trebuchet MS" w:cs="Trebuchet MS"/>
          <w:sz w:val="28"/>
          <w:szCs w:val="28"/>
        </w:rPr>
      </w:pPr>
    </w:p>
    <w:p w14:paraId="2EA10852" w14:textId="6EAD23C2" w:rsidR="00A54198" w:rsidRDefault="00132831" w:rsidP="00132831">
      <w:pPr>
        <w:ind w:left="360" w:right="360" w:firstLine="360"/>
        <w:jc w:val="both"/>
        <w:rPr>
          <w:rFonts w:ascii="Trebuchet MS" w:eastAsia="Trebuchet MS" w:hAnsi="Trebuchet MS" w:cs="Trebuchet MS"/>
          <w:sz w:val="28"/>
          <w:szCs w:val="28"/>
        </w:rPr>
      </w:pPr>
      <w:r w:rsidRPr="00C04CE4">
        <w:rPr>
          <w:rFonts w:ascii="Trebuchet MS" w:eastAsia="Trebuchet MS" w:hAnsi="Trebuchet MS" w:cs="Trebuchet MS"/>
          <w:sz w:val="28"/>
          <w:szCs w:val="28"/>
        </w:rPr>
        <w:t xml:space="preserve">The bodies of the odontoblasts are arranged in a layer on the pulpal surface of the dentin, </w:t>
      </w:r>
      <w:r w:rsidRPr="00132831">
        <w:rPr>
          <w:rFonts w:ascii="Trebuchet MS" w:eastAsia="Trebuchet MS" w:hAnsi="Trebuchet MS" w:cs="Trebuchet MS"/>
          <w:color w:val="FF0000"/>
          <w:sz w:val="28"/>
          <w:szCs w:val="28"/>
        </w:rPr>
        <w:t>and only their cytoplasmic processes are included in the tubules in the mineralized matrix</w:t>
      </w:r>
      <w:r w:rsidRPr="00C04CE4">
        <w:rPr>
          <w:rFonts w:ascii="Trebuchet MS" w:eastAsia="Trebuchet MS" w:hAnsi="Trebuchet MS" w:cs="Trebuchet MS"/>
          <w:sz w:val="28"/>
          <w:szCs w:val="28"/>
        </w:rPr>
        <w:t xml:space="preserve">. Each cell gives rise to one process, which traverses the predentin and calcified dentin within one tubule and terminates in a branching network at </w:t>
      </w:r>
      <w:r w:rsidRPr="00132831">
        <w:rPr>
          <w:rFonts w:ascii="Trebuchet MS" w:eastAsia="Trebuchet MS" w:hAnsi="Trebuchet MS" w:cs="Trebuchet MS"/>
          <w:color w:val="FF0000"/>
          <w:sz w:val="28"/>
          <w:szCs w:val="28"/>
        </w:rPr>
        <w:t>the junction with enamel or cementum</w:t>
      </w:r>
      <w:r w:rsidRPr="00C04CE4">
        <w:rPr>
          <w:rFonts w:ascii="Trebuchet MS" w:eastAsia="Trebuchet MS" w:hAnsi="Trebuchet MS" w:cs="Trebuchet MS"/>
          <w:sz w:val="28"/>
          <w:szCs w:val="28"/>
        </w:rPr>
        <w:t>. Tubules are found throughout normal dentin and are therefore characteristic of it.</w:t>
      </w:r>
      <w:r w:rsidR="00A54198">
        <w:rPr>
          <w:rFonts w:ascii="Trebuchet MS" w:eastAsia="Trebuchet MS" w:hAnsi="Trebuchet MS" w:cs="Trebuchet MS"/>
          <w:sz w:val="28"/>
          <w:szCs w:val="28"/>
        </w:rPr>
        <w:t xml:space="preserve"> </w:t>
      </w:r>
    </w:p>
    <w:p w14:paraId="2F56B2FE" w14:textId="77777777" w:rsidR="00A54198" w:rsidRPr="00A54198" w:rsidRDefault="00A54198" w:rsidP="00A54198">
      <w:pPr>
        <w:ind w:left="360" w:right="360" w:firstLine="360"/>
        <w:jc w:val="both"/>
        <w:rPr>
          <w:rFonts w:ascii="Trebuchet MS" w:eastAsia="Trebuchet MS" w:hAnsi="Trebuchet MS" w:cs="Trebuchet MS"/>
          <w:sz w:val="28"/>
          <w:szCs w:val="28"/>
        </w:rPr>
      </w:pPr>
    </w:p>
    <w:p w14:paraId="3508F2B2" w14:textId="77777777" w:rsidR="00850A72" w:rsidRPr="00850A72" w:rsidRDefault="00850A72" w:rsidP="00850A72">
      <w:pPr>
        <w:widowControl w:val="0"/>
        <w:ind w:left="360" w:right="360" w:firstLine="360"/>
        <w:jc w:val="both"/>
        <w:rPr>
          <w:rFonts w:ascii="Trebuchet MS" w:eastAsia="Trebuchet MS" w:hAnsi="Trebuchet MS" w:cs="Trebuchet MS"/>
          <w:color w:val="9BBB59" w:themeColor="accent3"/>
          <w:sz w:val="28"/>
          <w:szCs w:val="28"/>
          <w:lang w:val="en-US"/>
        </w:rPr>
      </w:pPr>
      <w:r w:rsidRPr="00AB4E50">
        <w:rPr>
          <w:rFonts w:ascii="Trebuchet MS" w:eastAsia="Trebuchet MS" w:hAnsi="Trebuchet MS" w:cs="Trebuchet MS"/>
          <w:sz w:val="28"/>
          <w:szCs w:val="28"/>
          <w:lang w:val="en-US"/>
        </w:rPr>
        <w:t xml:space="preserve">Thus,  dentin  formation  proceeds  toward  the inside of the tooth. The odontoblast process causes the secretion of </w:t>
      </w:r>
      <w:r w:rsidRPr="00AB4E50">
        <w:rPr>
          <w:rFonts w:ascii="Trebuchet MS" w:eastAsia="Trebuchet MS" w:hAnsi="Trebuchet MS" w:cs="Trebuchet MS"/>
          <w:sz w:val="28"/>
          <w:szCs w:val="28"/>
          <w:lang w:val="en-US"/>
        </w:rPr>
        <w:lastRenderedPageBreak/>
        <w:t xml:space="preserve">hydroxyapatite crystals and mineralization of the matrix. </w:t>
      </w:r>
      <w:r w:rsidRPr="00850A72">
        <w:rPr>
          <w:rFonts w:ascii="Trebuchet MS" w:eastAsia="Trebuchet MS" w:hAnsi="Trebuchet MS" w:cs="Trebuchet MS"/>
          <w:color w:val="9BBB59" w:themeColor="accent3"/>
          <w:sz w:val="28"/>
          <w:szCs w:val="28"/>
          <w:lang w:val="en-US"/>
        </w:rPr>
        <w:t>This area of mineralization is known as mantle dentin .</w:t>
      </w:r>
    </w:p>
    <w:p w14:paraId="3353779F" w14:textId="77777777" w:rsidR="00850A72" w:rsidRPr="00AB4E50" w:rsidRDefault="00850A72" w:rsidP="00850A72">
      <w:pPr>
        <w:widowControl w:val="0"/>
        <w:ind w:left="360" w:right="360" w:firstLine="360"/>
        <w:jc w:val="both"/>
        <w:rPr>
          <w:rFonts w:ascii="Trebuchet MS" w:eastAsia="Trebuchet MS" w:hAnsi="Trebuchet MS" w:cs="Trebuchet MS"/>
          <w:sz w:val="28"/>
          <w:szCs w:val="28"/>
          <w:lang w:val="en-US"/>
        </w:rPr>
      </w:pPr>
    </w:p>
    <w:p w14:paraId="2420EA40" w14:textId="77777777" w:rsidR="00850A72" w:rsidRDefault="00850A72" w:rsidP="00850A72">
      <w:pPr>
        <w:widowControl w:val="0"/>
        <w:ind w:left="360" w:right="360" w:firstLine="360"/>
        <w:jc w:val="both"/>
        <w:rPr>
          <w:rFonts w:ascii="Trebuchet MS" w:eastAsia="Trebuchet MS" w:hAnsi="Trebuchet MS" w:cs="Trebuchet MS"/>
          <w:sz w:val="28"/>
          <w:szCs w:val="28"/>
          <w:lang w:val="en-US"/>
        </w:rPr>
      </w:pPr>
      <w:r w:rsidRPr="00AB4E50">
        <w:rPr>
          <w:rFonts w:ascii="Trebuchet MS" w:eastAsia="Trebuchet MS" w:hAnsi="Trebuchet MS" w:cs="Trebuchet MS"/>
          <w:sz w:val="28"/>
          <w:szCs w:val="28"/>
          <w:lang w:val="en-US"/>
        </w:rPr>
        <w:t xml:space="preserve">Maturation of dentin or mineralization of predentin occurs soon after its apposition, which takes place </w:t>
      </w:r>
      <w:r w:rsidRPr="005C226D">
        <w:rPr>
          <w:rFonts w:ascii="Trebuchet MS" w:eastAsia="Trebuchet MS" w:hAnsi="Trebuchet MS" w:cs="Trebuchet MS"/>
          <w:color w:val="FF0000"/>
          <w:sz w:val="28"/>
          <w:szCs w:val="28"/>
          <w:lang w:val="en-US"/>
        </w:rPr>
        <w:t>in two phases: primary and secondary.</w:t>
      </w:r>
      <w:r w:rsidRPr="00AB4E50">
        <w:rPr>
          <w:rFonts w:ascii="Trebuchet MS" w:eastAsia="Trebuchet MS" w:hAnsi="Trebuchet MS" w:cs="Trebuchet MS"/>
          <w:sz w:val="28"/>
          <w:szCs w:val="28"/>
          <w:lang w:val="en-US"/>
        </w:rPr>
        <w:t xml:space="preserve"> Initially, the calcium hydroxyapatite crystals form as globules in the collagen fibers of the predentin</w:t>
      </w:r>
      <w:r>
        <w:rPr>
          <w:rFonts w:ascii="Trebuchet MS" w:eastAsia="Trebuchet MS" w:hAnsi="Trebuchet MS" w:cs="Trebuchet MS"/>
          <w:sz w:val="28"/>
          <w:szCs w:val="28"/>
          <w:lang w:val="en-US"/>
        </w:rPr>
        <w:t xml:space="preserve"> </w:t>
      </w:r>
      <w:r w:rsidRPr="00AB4E50">
        <w:rPr>
          <w:rFonts w:ascii="Trebuchet MS" w:eastAsia="Trebuchet MS" w:hAnsi="Trebuchet MS" w:cs="Trebuchet MS"/>
          <w:sz w:val="28"/>
          <w:szCs w:val="28"/>
          <w:lang w:val="en-US"/>
        </w:rPr>
        <w:t xml:space="preserve"> Later, new areas of mineralization occur as globules form in the partially mineralized predentin during the secondary mineralization.</w:t>
      </w:r>
    </w:p>
    <w:p w14:paraId="76B352E4" w14:textId="124CB1D4" w:rsidR="00C04CE4" w:rsidRPr="00C04CE4" w:rsidRDefault="00132831" w:rsidP="00850A72">
      <w:pPr>
        <w:widowControl w:val="0"/>
        <w:ind w:left="360" w:right="360" w:firstLine="360"/>
        <w:jc w:val="both"/>
        <w:rPr>
          <w:rFonts w:ascii="Trebuchet MS" w:eastAsia="Trebuchet MS" w:hAnsi="Trebuchet MS" w:cs="Trebuchet MS"/>
          <w:sz w:val="28"/>
          <w:szCs w:val="28"/>
          <w:lang w:val="en-US"/>
        </w:rPr>
      </w:pPr>
      <w:r>
        <w:rPr>
          <w:noProof/>
        </w:rPr>
        <w:drawing>
          <wp:inline distT="114300" distB="114300" distL="114300" distR="114300" wp14:anchorId="234EBC81" wp14:editId="39B8C3B6">
            <wp:extent cx="5730245" cy="2387296"/>
            <wp:effectExtent l="0" t="0" r="381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794179" cy="2413932"/>
                    </a:xfrm>
                    <a:prstGeom prst="rect">
                      <a:avLst/>
                    </a:prstGeom>
                    <a:ln/>
                  </pic:spPr>
                </pic:pic>
              </a:graphicData>
            </a:graphic>
          </wp:inline>
        </w:drawing>
      </w:r>
    </w:p>
    <w:p w14:paraId="38EEAFAE" w14:textId="77777777" w:rsidR="00132831" w:rsidRPr="00132831" w:rsidRDefault="00132831" w:rsidP="00132831">
      <w:pPr>
        <w:rPr>
          <w:rFonts w:ascii="Trebuchet MS" w:eastAsia="Trebuchet MS" w:hAnsi="Trebuchet MS" w:cs="Trebuchet MS"/>
          <w:b/>
          <w:color w:val="FF0000"/>
          <w:sz w:val="28"/>
          <w:szCs w:val="28"/>
        </w:rPr>
      </w:pPr>
      <w:r w:rsidRPr="00132831">
        <w:rPr>
          <w:rFonts w:ascii="Trebuchet MS" w:eastAsia="Trebuchet MS" w:hAnsi="Trebuchet MS" w:cs="Trebuchet MS"/>
          <w:b/>
          <w:color w:val="FF0000"/>
          <w:sz w:val="28"/>
          <w:szCs w:val="28"/>
        </w:rPr>
        <w:t>Dentinal tubules</w:t>
      </w:r>
    </w:p>
    <w:p w14:paraId="37D66740" w14:textId="77777777" w:rsidR="00132831" w:rsidRPr="00132831" w:rsidRDefault="00132831" w:rsidP="00132831">
      <w:pPr>
        <w:rPr>
          <w:rFonts w:ascii="Trebuchet MS" w:eastAsia="Trebuchet MS" w:hAnsi="Trebuchet MS" w:cs="Trebuchet MS"/>
          <w:b/>
          <w:color w:val="FF0000"/>
          <w:sz w:val="28"/>
          <w:szCs w:val="28"/>
        </w:rPr>
      </w:pPr>
    </w:p>
    <w:p w14:paraId="3743CF34" w14:textId="7FC62753" w:rsidR="00132831" w:rsidRDefault="00690A38" w:rsidP="00132831">
      <w:pPr>
        <w:jc w:val="both"/>
        <w:rPr>
          <w:rFonts w:ascii="Trebuchet MS" w:eastAsia="Trebuchet MS" w:hAnsi="Trebuchet MS" w:cs="Trebuchet MS"/>
          <w:sz w:val="28"/>
          <w:szCs w:val="28"/>
        </w:rPr>
      </w:pPr>
      <w:r>
        <w:rPr>
          <w:rFonts w:ascii="Trebuchet MS" w:eastAsia="Trebuchet MS" w:hAnsi="Trebuchet MS" w:cs="Trebuchet MS"/>
          <w:sz w:val="28"/>
          <w:szCs w:val="28"/>
        </w:rPr>
        <w:t xml:space="preserve"> Are small hollow microscopic channels that travel from the inside of the tooth where the pulp is out through the dentin ending right beneath the enamel.</w:t>
      </w:r>
    </w:p>
    <w:p w14:paraId="6F2FB10C" w14:textId="77777777" w:rsidR="00690A38" w:rsidRDefault="00690A38" w:rsidP="00132831">
      <w:pPr>
        <w:jc w:val="both"/>
        <w:rPr>
          <w:rFonts w:ascii="Trebuchet MS" w:eastAsia="Trebuchet MS" w:hAnsi="Trebuchet MS" w:cs="Trebuchet MS"/>
          <w:sz w:val="28"/>
          <w:szCs w:val="28"/>
        </w:rPr>
      </w:pPr>
    </w:p>
    <w:p w14:paraId="3339F770" w14:textId="77777777" w:rsidR="00690A38" w:rsidRDefault="00690A38" w:rsidP="00132831">
      <w:pPr>
        <w:jc w:val="both"/>
        <w:rPr>
          <w:rFonts w:ascii="Trebuchet MS" w:eastAsia="Trebuchet MS" w:hAnsi="Trebuchet MS" w:cs="Trebuchet MS"/>
          <w:sz w:val="28"/>
          <w:szCs w:val="28"/>
        </w:rPr>
      </w:pPr>
    </w:p>
    <w:p w14:paraId="429D07D4" w14:textId="45698754" w:rsidR="0026510B" w:rsidRPr="00611E15" w:rsidRDefault="00920C1B" w:rsidP="00611E15">
      <w:pPr>
        <w:ind w:left="360" w:right="360" w:firstLine="360"/>
        <w:jc w:val="both"/>
        <w:rPr>
          <w:rFonts w:ascii="Trebuchet MS" w:eastAsia="Trebuchet MS" w:hAnsi="Trebuchet MS" w:cs="Trebuchet MS"/>
          <w:sz w:val="28"/>
          <w:szCs w:val="28"/>
        </w:rPr>
      </w:pPr>
      <w:r>
        <w:rPr>
          <w:rFonts w:ascii="Trebuchet MS" w:eastAsia="Trebuchet MS" w:hAnsi="Trebuchet MS" w:cs="Trebuchet MS"/>
          <w:sz w:val="28"/>
          <w:szCs w:val="28"/>
        </w:rPr>
        <w:t xml:space="preserve"> </w:t>
      </w:r>
    </w:p>
    <w:sectPr w:rsidR="0026510B" w:rsidRPr="00611E15">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78DFD" w14:textId="77777777" w:rsidR="008806AA" w:rsidRDefault="008806AA">
      <w:pPr>
        <w:spacing w:line="240" w:lineRule="auto"/>
      </w:pPr>
      <w:r>
        <w:separator/>
      </w:r>
    </w:p>
  </w:endnote>
  <w:endnote w:type="continuationSeparator" w:id="0">
    <w:p w14:paraId="3A9A5860" w14:textId="77777777" w:rsidR="008806AA" w:rsidRDefault="008806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CC8A3" w14:textId="77777777" w:rsidR="008806AA" w:rsidRDefault="008806AA">
      <w:pPr>
        <w:spacing w:line="240" w:lineRule="auto"/>
      </w:pPr>
      <w:r>
        <w:separator/>
      </w:r>
    </w:p>
  </w:footnote>
  <w:footnote w:type="continuationSeparator" w:id="0">
    <w:p w14:paraId="0FDC6F05" w14:textId="77777777" w:rsidR="008806AA" w:rsidRDefault="008806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F2F5" w14:textId="77777777" w:rsidR="008A4808" w:rsidRDefault="008A480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808"/>
    <w:rsid w:val="000D7808"/>
    <w:rsid w:val="00132831"/>
    <w:rsid w:val="00174F99"/>
    <w:rsid w:val="0020368B"/>
    <w:rsid w:val="0026510B"/>
    <w:rsid w:val="0059683A"/>
    <w:rsid w:val="005A59DE"/>
    <w:rsid w:val="005C226D"/>
    <w:rsid w:val="005F40F5"/>
    <w:rsid w:val="00611E15"/>
    <w:rsid w:val="00690A38"/>
    <w:rsid w:val="006E2A78"/>
    <w:rsid w:val="007369B7"/>
    <w:rsid w:val="007903B6"/>
    <w:rsid w:val="00850A72"/>
    <w:rsid w:val="008806AA"/>
    <w:rsid w:val="008A4808"/>
    <w:rsid w:val="00920C1B"/>
    <w:rsid w:val="00944C42"/>
    <w:rsid w:val="00A54198"/>
    <w:rsid w:val="00AB4E50"/>
    <w:rsid w:val="00AD0DFD"/>
    <w:rsid w:val="00B5076A"/>
    <w:rsid w:val="00C04CE4"/>
    <w:rsid w:val="00C234B8"/>
    <w:rsid w:val="00E442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F023A"/>
  <w15:docId w15:val="{105DCCCC-7293-4F7D-8360-464F25B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E5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711BF-4FC3-41EC-93BD-649913AFC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ayadabdali.alshamma</cp:lastModifiedBy>
  <cp:revision>11</cp:revision>
  <dcterms:created xsi:type="dcterms:W3CDTF">2023-10-26T14:15:00Z</dcterms:created>
  <dcterms:modified xsi:type="dcterms:W3CDTF">2023-11-16T16:29:00Z</dcterms:modified>
</cp:coreProperties>
</file>