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5B95" w14:textId="77777777" w:rsidR="00EE61EA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BCB7018" wp14:editId="169805F0">
            <wp:extent cx="1876447" cy="2033588"/>
            <wp:effectExtent l="0" t="0" r="0" b="0"/>
            <wp:docPr id="5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47" cy="2033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</w:t>
      </w:r>
      <w:r>
        <w:rPr>
          <w:noProof/>
          <w:sz w:val="24"/>
          <w:szCs w:val="24"/>
        </w:rPr>
        <w:drawing>
          <wp:inline distT="114300" distB="114300" distL="114300" distR="114300" wp14:anchorId="61288B06" wp14:editId="6B6A3FEA">
            <wp:extent cx="2097910" cy="2205038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7910" cy="220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3A5F6F" w14:textId="77777777" w:rsidR="00EE61E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16C0C47" w14:textId="77777777" w:rsidR="00EE61EA" w:rsidRDefault="00EE61EA">
      <w:pPr>
        <w:jc w:val="center"/>
        <w:rPr>
          <w:sz w:val="24"/>
          <w:szCs w:val="24"/>
        </w:rPr>
      </w:pPr>
    </w:p>
    <w:p w14:paraId="491FC972" w14:textId="77777777" w:rsidR="00EE61EA" w:rsidRDefault="00EE61EA">
      <w:pPr>
        <w:jc w:val="center"/>
        <w:rPr>
          <w:sz w:val="24"/>
          <w:szCs w:val="24"/>
        </w:rPr>
      </w:pPr>
    </w:p>
    <w:p w14:paraId="63800975" w14:textId="77777777" w:rsidR="00EE61EA" w:rsidRDefault="00EE61EA">
      <w:pPr>
        <w:jc w:val="center"/>
        <w:rPr>
          <w:sz w:val="24"/>
          <w:szCs w:val="24"/>
        </w:rPr>
      </w:pPr>
    </w:p>
    <w:p w14:paraId="41F7AEB0" w14:textId="77777777" w:rsidR="00EE61EA" w:rsidRDefault="00EE61EA">
      <w:pPr>
        <w:jc w:val="center"/>
        <w:rPr>
          <w:sz w:val="24"/>
          <w:szCs w:val="24"/>
        </w:rPr>
      </w:pPr>
    </w:p>
    <w:p w14:paraId="55F55FF7" w14:textId="77777777" w:rsidR="00EE61EA" w:rsidRDefault="00EE61EA">
      <w:pPr>
        <w:jc w:val="center"/>
        <w:rPr>
          <w:sz w:val="24"/>
          <w:szCs w:val="24"/>
        </w:rPr>
      </w:pPr>
    </w:p>
    <w:p w14:paraId="416F7241" w14:textId="77777777" w:rsidR="00EE61EA" w:rsidRDefault="00000000">
      <w:pPr>
        <w:jc w:val="center"/>
        <w:rPr>
          <w:sz w:val="72"/>
          <w:szCs w:val="72"/>
        </w:rPr>
      </w:pPr>
      <w:r>
        <w:rPr>
          <w:sz w:val="72"/>
          <w:szCs w:val="72"/>
        </w:rPr>
        <w:t>Oral Histology</w:t>
      </w:r>
    </w:p>
    <w:p w14:paraId="6B7EF430" w14:textId="77777777" w:rsidR="00EE61EA" w:rsidRDefault="00000000">
      <w:pPr>
        <w:jc w:val="center"/>
        <w:rPr>
          <w:sz w:val="24"/>
          <w:szCs w:val="24"/>
        </w:rPr>
      </w:pPr>
      <w:r>
        <w:pict w14:anchorId="6622F2EF">
          <v:rect id="_x0000_i1025" style="width:0;height:1.5pt" o:hralign="center" o:hrstd="t" o:hr="t" fillcolor="#a0a0a0" stroked="f"/>
        </w:pict>
      </w:r>
    </w:p>
    <w:p w14:paraId="37B5225D" w14:textId="7ADAC839" w:rsidR="00504232" w:rsidRPr="00504232" w:rsidRDefault="00504232" w:rsidP="00504232">
      <w:pPr>
        <w:widowControl w:val="0"/>
        <w:spacing w:before="62" w:line="240" w:lineRule="auto"/>
        <w:ind w:left="193"/>
        <w:rPr>
          <w:sz w:val="56"/>
          <w:szCs w:val="56"/>
          <w:lang w:val="en-US"/>
        </w:rPr>
      </w:pPr>
      <w:r w:rsidRPr="00504232">
        <w:rPr>
          <w:sz w:val="56"/>
          <w:szCs w:val="56"/>
          <w:lang w:val="en-US"/>
        </w:rPr>
        <w:t>Development and Growth of</w:t>
      </w:r>
      <w:r w:rsidR="00AB41CA">
        <w:rPr>
          <w:sz w:val="56"/>
          <w:szCs w:val="56"/>
          <w:lang w:val="en-US"/>
        </w:rPr>
        <w:t xml:space="preserve"> </w:t>
      </w:r>
      <w:r w:rsidRPr="00504232">
        <w:rPr>
          <w:sz w:val="56"/>
          <w:szCs w:val="56"/>
          <w:lang w:val="en-US"/>
        </w:rPr>
        <w:t>Teeth</w:t>
      </w:r>
    </w:p>
    <w:p w14:paraId="1B7C1E62" w14:textId="77777777" w:rsidR="00EE61EA" w:rsidRDefault="00EE61EA">
      <w:pPr>
        <w:jc w:val="center"/>
        <w:rPr>
          <w:sz w:val="24"/>
          <w:szCs w:val="24"/>
        </w:rPr>
      </w:pPr>
    </w:p>
    <w:p w14:paraId="03A64EDA" w14:textId="77777777" w:rsidR="00EE61EA" w:rsidRDefault="00000000">
      <w:pPr>
        <w:jc w:val="center"/>
        <w:rPr>
          <w:sz w:val="24"/>
          <w:szCs w:val="24"/>
        </w:rPr>
      </w:pPr>
      <w:r>
        <w:pict w14:anchorId="65CEAFA3">
          <v:rect id="_x0000_i1026" style="width:0;height:1.5pt" o:hralign="center" o:hrstd="t" o:hr="t" fillcolor="#a0a0a0" stroked="f"/>
        </w:pict>
      </w:r>
    </w:p>
    <w:p w14:paraId="1E2BB77C" w14:textId="3BE79238" w:rsidR="00EE61EA" w:rsidRDefault="00000000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Lecture </w:t>
      </w:r>
      <w:r w:rsidR="00504232">
        <w:rPr>
          <w:sz w:val="48"/>
          <w:szCs w:val="48"/>
        </w:rPr>
        <w:t>6</w:t>
      </w:r>
      <w:r>
        <w:rPr>
          <w:sz w:val="48"/>
          <w:szCs w:val="48"/>
        </w:rPr>
        <w:t xml:space="preserve"> </w:t>
      </w:r>
    </w:p>
    <w:p w14:paraId="0E2AC74F" w14:textId="77777777" w:rsidR="00EE61EA" w:rsidRDefault="00EE61EA">
      <w:pPr>
        <w:jc w:val="center"/>
        <w:rPr>
          <w:sz w:val="48"/>
          <w:szCs w:val="48"/>
        </w:rPr>
      </w:pPr>
    </w:p>
    <w:p w14:paraId="1A2CE6D3" w14:textId="77777777" w:rsidR="00EE61EA" w:rsidRDefault="00000000">
      <w:pPr>
        <w:jc w:val="center"/>
        <w:rPr>
          <w:sz w:val="48"/>
          <w:szCs w:val="48"/>
        </w:rPr>
      </w:pPr>
      <w:r>
        <w:rPr>
          <w:sz w:val="48"/>
          <w:szCs w:val="48"/>
        </w:rPr>
        <w:t>Prof. Dr. Muna Merza</w:t>
      </w:r>
    </w:p>
    <w:p w14:paraId="479FE290" w14:textId="77777777" w:rsidR="00EE61EA" w:rsidRDefault="00EE61EA">
      <w:pPr>
        <w:jc w:val="center"/>
        <w:rPr>
          <w:sz w:val="24"/>
          <w:szCs w:val="24"/>
        </w:rPr>
      </w:pPr>
    </w:p>
    <w:p w14:paraId="5BC38F75" w14:textId="77777777" w:rsidR="00EE61EA" w:rsidRDefault="00EE61EA">
      <w:pPr>
        <w:jc w:val="center"/>
        <w:rPr>
          <w:sz w:val="24"/>
          <w:szCs w:val="24"/>
        </w:rPr>
      </w:pPr>
    </w:p>
    <w:p w14:paraId="78635544" w14:textId="77777777" w:rsidR="00EE61EA" w:rsidRDefault="00EE61EA">
      <w:pPr>
        <w:jc w:val="center"/>
        <w:rPr>
          <w:sz w:val="24"/>
          <w:szCs w:val="24"/>
        </w:rPr>
      </w:pPr>
    </w:p>
    <w:p w14:paraId="15CB02C6" w14:textId="77777777" w:rsidR="00EE61EA" w:rsidRDefault="00EE61EA">
      <w:pPr>
        <w:jc w:val="center"/>
        <w:rPr>
          <w:sz w:val="24"/>
          <w:szCs w:val="24"/>
        </w:rPr>
      </w:pPr>
    </w:p>
    <w:p w14:paraId="28361D27" w14:textId="77777777" w:rsidR="00EE61EA" w:rsidRDefault="00EE61EA">
      <w:pPr>
        <w:jc w:val="center"/>
        <w:rPr>
          <w:sz w:val="24"/>
          <w:szCs w:val="24"/>
        </w:rPr>
      </w:pPr>
    </w:p>
    <w:p w14:paraId="3F0935FD" w14:textId="77777777" w:rsidR="00EE61EA" w:rsidRDefault="00EE61EA">
      <w:pPr>
        <w:jc w:val="center"/>
        <w:rPr>
          <w:sz w:val="24"/>
          <w:szCs w:val="24"/>
        </w:rPr>
      </w:pPr>
    </w:p>
    <w:p w14:paraId="5F68F610" w14:textId="77777777" w:rsidR="00EE61EA" w:rsidRDefault="00EE61EA">
      <w:pPr>
        <w:jc w:val="center"/>
        <w:rPr>
          <w:sz w:val="24"/>
          <w:szCs w:val="24"/>
        </w:rPr>
      </w:pPr>
    </w:p>
    <w:p w14:paraId="58B4A4C5" w14:textId="77777777" w:rsidR="00EE61EA" w:rsidRDefault="00EE61EA">
      <w:pPr>
        <w:jc w:val="center"/>
        <w:rPr>
          <w:sz w:val="24"/>
          <w:szCs w:val="24"/>
        </w:rPr>
      </w:pPr>
    </w:p>
    <w:p w14:paraId="22D8845A" w14:textId="2818CD70" w:rsidR="00504232" w:rsidRPr="001C79E4" w:rsidRDefault="00504232" w:rsidP="001C79E4">
      <w:pPr>
        <w:widowControl w:val="0"/>
        <w:spacing w:before="62" w:line="240" w:lineRule="auto"/>
        <w:rPr>
          <w:sz w:val="36"/>
          <w:szCs w:val="36"/>
          <w:lang w:val="en-US"/>
        </w:rPr>
      </w:pPr>
      <w:r w:rsidRPr="001C79E4">
        <w:rPr>
          <w:sz w:val="36"/>
          <w:szCs w:val="36"/>
          <w:lang w:val="en-US"/>
        </w:rPr>
        <w:t>Development and Growth ofTeeth</w:t>
      </w:r>
    </w:p>
    <w:p w14:paraId="675A4566" w14:textId="77777777" w:rsidR="00504232" w:rsidRPr="001C79E4" w:rsidRDefault="00504232" w:rsidP="005042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color w:val="000000"/>
          <w:sz w:val="28"/>
          <w:szCs w:val="28"/>
          <w:lang w:val="en-US"/>
        </w:rPr>
      </w:pPr>
    </w:p>
    <w:p w14:paraId="0D25544E" w14:textId="5A7FDB17" w:rsidR="00504232" w:rsidRPr="001C79E4" w:rsidRDefault="00504232" w:rsidP="00504232">
      <w:pPr>
        <w:widowControl w:val="0"/>
        <w:spacing w:line="434" w:lineRule="auto"/>
        <w:ind w:left="196" w:right="559" w:firstLine="21"/>
        <w:rPr>
          <w:rFonts w:ascii="Trebuchet MS" w:eastAsia="Trebuchet MS" w:hAnsi="Trebuchet MS" w:cs="Trebuchet MS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Two or three weeks after the rupture of the buccopharyngeal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lastRenderedPageBreak/>
        <w:t xml:space="preserve">membrane, when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>embryo is about 6 wecks old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, certain </w:t>
      </w:r>
      <w:r w:rsidRPr="001C79E4">
        <w:rPr>
          <w:sz w:val="28"/>
          <w:szCs w:val="28"/>
          <w:lang w:val="en-US"/>
        </w:rPr>
        <w:t xml:space="preserve">areas of basal cells of  the  oral ectoderm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leads to the </w:t>
      </w:r>
      <w:r w:rsidRPr="001C79E4">
        <w:rPr>
          <w:sz w:val="28"/>
          <w:szCs w:val="28"/>
          <w:lang w:val="en-US"/>
        </w:rPr>
        <w:t xml:space="preserve">formation of the </w:t>
      </w:r>
      <w:r w:rsidRPr="001C79E4">
        <w:rPr>
          <w:color w:val="FF0000"/>
          <w:sz w:val="28"/>
          <w:szCs w:val="28"/>
          <w:lang w:val="en-US"/>
        </w:rPr>
        <w:t xml:space="preserve">Primary epithelial band </w:t>
      </w:r>
      <w:r w:rsidRPr="001C79E4">
        <w:rPr>
          <w:sz w:val="28"/>
          <w:szCs w:val="28"/>
          <w:lang w:val="en-US"/>
        </w:rPr>
        <w:t xml:space="preserve">which is a band of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>epithelium that has invaded the underlying ectomesenchyme along each of the horseshoe-shaped future dental arches</w:t>
      </w:r>
    </w:p>
    <w:p w14:paraId="1AF97746" w14:textId="6F61733F" w:rsidR="00504232" w:rsidRPr="00504232" w:rsidRDefault="00504232" w:rsidP="00504232">
      <w:pPr>
        <w:widowControl w:val="0"/>
        <w:spacing w:line="434" w:lineRule="auto"/>
        <w:ind w:left="196" w:right="559" w:firstLine="21"/>
        <w:rPr>
          <w:rFonts w:ascii="Trebuchet MS" w:eastAsia="Trebuchet MS" w:hAnsi="Trebuchet MS" w:cs="Trebuchet MS"/>
          <w:sz w:val="36"/>
          <w:szCs w:val="36"/>
          <w:lang w:val="en-US"/>
        </w:rPr>
      </w:pPr>
      <w:r>
        <w:rPr>
          <w:noProof/>
          <w:sz w:val="42"/>
          <w:szCs w:val="42"/>
        </w:rPr>
        <w:drawing>
          <wp:inline distT="114300" distB="114300" distL="114300" distR="114300" wp14:anchorId="088F2848" wp14:editId="6F7709D3">
            <wp:extent cx="5732916" cy="2038350"/>
            <wp:effectExtent l="0" t="0" r="1270" b="0"/>
            <wp:docPr id="1370883347" name="Picture 1370883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639" cy="2038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899BCE" w14:textId="4258CEDA" w:rsidR="00504232" w:rsidRPr="001C79E4" w:rsidRDefault="00504232" w:rsidP="001C79E4">
      <w:pPr>
        <w:widowControl w:val="0"/>
        <w:spacing w:before="88" w:line="451" w:lineRule="auto"/>
        <w:ind w:left="169" w:right="1098"/>
        <w:rPr>
          <w:rFonts w:ascii="Trebuchet MS" w:eastAsia="Trebuchet MS" w:hAnsi="Trebuchet MS" w:cs="Trebuchet MS"/>
          <w:sz w:val="28"/>
          <w:szCs w:val="28"/>
          <w:lang w:val="en-US"/>
        </w:rPr>
      </w:pPr>
      <w:r w:rsidRPr="001C79E4">
        <w:rPr>
          <w:sz w:val="28"/>
          <w:szCs w:val="28"/>
          <w:lang w:val="en-US"/>
        </w:rPr>
        <w:t xml:space="preserve">At about 7th week the primary epithelial band divides into an </w:t>
      </w:r>
      <w:r w:rsidRPr="001C79E4">
        <w:rPr>
          <w:color w:val="FF0000"/>
          <w:sz w:val="28"/>
          <w:szCs w:val="28"/>
          <w:lang w:val="en-US"/>
        </w:rPr>
        <w:t xml:space="preserve">inner (lingual) process </w:t>
      </w:r>
      <w:r w:rsidRPr="001C79E4">
        <w:rPr>
          <w:sz w:val="28"/>
          <w:szCs w:val="28"/>
          <w:lang w:val="en-US"/>
        </w:rPr>
        <w:t xml:space="preserve">called </w:t>
      </w:r>
      <w:r w:rsidRPr="001C79E4">
        <w:rPr>
          <w:color w:val="FF0000"/>
          <w:sz w:val="28"/>
          <w:szCs w:val="28"/>
          <w:lang w:val="en-US"/>
        </w:rPr>
        <w:t>Dental lamina</w:t>
      </w:r>
      <w:r w:rsidRPr="001C79E4">
        <w:rPr>
          <w:sz w:val="28"/>
          <w:szCs w:val="28"/>
          <w:lang w:val="en-US"/>
        </w:rPr>
        <w:t xml:space="preserve"> and </w:t>
      </w:r>
      <w:r w:rsidRPr="001C79E4">
        <w:rPr>
          <w:color w:val="FF0000"/>
          <w:sz w:val="28"/>
          <w:szCs w:val="28"/>
          <w:lang w:val="en-US"/>
        </w:rPr>
        <w:t>an outer (buccal</w:t>
      </w:r>
      <w:r w:rsidRPr="001C79E4">
        <w:rPr>
          <w:sz w:val="28"/>
          <w:szCs w:val="28"/>
          <w:lang w:val="en-US"/>
        </w:rPr>
        <w:t xml:space="preserve">) process called </w:t>
      </w:r>
      <w:r w:rsidRPr="001C79E4">
        <w:rPr>
          <w:color w:val="FF0000"/>
          <w:sz w:val="28"/>
          <w:szCs w:val="28"/>
          <w:lang w:val="en-US"/>
        </w:rPr>
        <w:t>Vestibular lamina</w:t>
      </w:r>
      <w:r w:rsidRPr="001C79E4">
        <w:rPr>
          <w:sz w:val="28"/>
          <w:szCs w:val="28"/>
          <w:lang w:val="en-US"/>
        </w:rPr>
        <w:t xml:space="preserve">. The dental laminae serve as the primordium for the ectodermal portion of the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deciduous teeth. </w:t>
      </w:r>
      <w:r w:rsidR="00AB41CA"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</w:t>
      </w:r>
    </w:p>
    <w:p w14:paraId="6C1FE1E4" w14:textId="51E68E3F" w:rsidR="00504232" w:rsidRPr="00504232" w:rsidRDefault="00504232" w:rsidP="005042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42"/>
          <w:szCs w:val="42"/>
          <w:lang w:val="en-US"/>
        </w:rPr>
      </w:pPr>
      <w:r>
        <w:rPr>
          <w:noProof/>
        </w:rPr>
        <w:drawing>
          <wp:inline distT="114300" distB="114300" distL="114300" distR="114300" wp14:anchorId="14EBE034" wp14:editId="5DFD00DF">
            <wp:extent cx="4380230" cy="1835150"/>
            <wp:effectExtent l="0" t="0" r="127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1299" cy="1843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661347" w14:textId="657E4555" w:rsidR="00EE61EA" w:rsidRDefault="0050423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DFE4C6D" w14:textId="1B4DEBFF" w:rsidR="00EE61EA" w:rsidRDefault="00504232"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176359D3" wp14:editId="1C060FC5">
            <wp:extent cx="4629150" cy="2038259"/>
            <wp:effectExtent l="0" t="0" r="0" b="635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2662" cy="20442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C6F64C" w14:textId="6332F1C6" w:rsidR="00EE61EA" w:rsidRDefault="00EE61EA">
      <w:pPr>
        <w:jc w:val="center"/>
      </w:pPr>
    </w:p>
    <w:p w14:paraId="3FB7C196" w14:textId="77777777" w:rsidR="00504232" w:rsidRPr="001C79E4" w:rsidRDefault="00504232" w:rsidP="00504232">
      <w:pPr>
        <w:widowControl w:val="0"/>
        <w:spacing w:before="101" w:line="360" w:lineRule="auto"/>
        <w:ind w:left="170" w:right="991" w:firstLine="8"/>
        <w:rPr>
          <w:rFonts w:ascii="Trebuchet MS" w:eastAsia="Trebuchet MS" w:hAnsi="Trebuchet MS" w:cs="Trebuchet MS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The development of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first permanent molar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is initiated at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>fourth month in utero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.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second molar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is initiated at about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first year after birth,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third molar at the fourth or fifth years,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>distal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proliferation of the dental lamina is responsible for the location of the germs of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permanent molars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in the ramus of the mandible and the tuberosity of the maxilla. The successors of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deciduous teeth 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develop from a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>lingual extension of the free end of the dental lamina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opposite to the enamel organ of each deciduous tooth</w:t>
      </w:r>
    </w:p>
    <w:p w14:paraId="2EE38F76" w14:textId="5683B819" w:rsidR="00EE61EA" w:rsidRDefault="00504232">
      <w:r>
        <w:rPr>
          <w:noProof/>
          <w:sz w:val="20"/>
          <w:szCs w:val="20"/>
        </w:rPr>
        <w:drawing>
          <wp:inline distT="114300" distB="114300" distL="114300" distR="114300" wp14:anchorId="163A7532" wp14:editId="11AB60E9">
            <wp:extent cx="4692650" cy="25400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4309" cy="2540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C6D0BC" w14:textId="77777777" w:rsidR="001C79E4" w:rsidRDefault="001C79E4" w:rsidP="00F31738">
      <w:pPr>
        <w:rPr>
          <w:sz w:val="24"/>
          <w:szCs w:val="24"/>
        </w:rPr>
      </w:pPr>
    </w:p>
    <w:p w14:paraId="53CB5FC6" w14:textId="77777777" w:rsidR="001C79E4" w:rsidRDefault="001C79E4" w:rsidP="00F31738">
      <w:pPr>
        <w:rPr>
          <w:sz w:val="24"/>
          <w:szCs w:val="24"/>
        </w:rPr>
      </w:pPr>
    </w:p>
    <w:p w14:paraId="194DE933" w14:textId="77777777" w:rsidR="001C79E4" w:rsidRDefault="001C79E4" w:rsidP="00F31738">
      <w:pPr>
        <w:rPr>
          <w:sz w:val="24"/>
          <w:szCs w:val="24"/>
        </w:rPr>
      </w:pPr>
    </w:p>
    <w:p w14:paraId="32302FD6" w14:textId="77777777" w:rsidR="001C79E4" w:rsidRDefault="001C79E4" w:rsidP="00F31738">
      <w:pPr>
        <w:rPr>
          <w:sz w:val="24"/>
          <w:szCs w:val="24"/>
        </w:rPr>
      </w:pPr>
    </w:p>
    <w:p w14:paraId="2F269F97" w14:textId="77777777" w:rsidR="001C79E4" w:rsidRDefault="001C79E4" w:rsidP="00F31738">
      <w:pPr>
        <w:rPr>
          <w:sz w:val="24"/>
          <w:szCs w:val="24"/>
        </w:rPr>
      </w:pPr>
    </w:p>
    <w:p w14:paraId="618F8D5B" w14:textId="77777777" w:rsidR="001C79E4" w:rsidRDefault="001C79E4" w:rsidP="00F31738">
      <w:pPr>
        <w:rPr>
          <w:sz w:val="24"/>
          <w:szCs w:val="24"/>
        </w:rPr>
      </w:pPr>
    </w:p>
    <w:p w14:paraId="2D4C6477" w14:textId="77777777" w:rsidR="001C79E4" w:rsidRDefault="001C79E4" w:rsidP="00F31738">
      <w:pPr>
        <w:rPr>
          <w:sz w:val="24"/>
          <w:szCs w:val="24"/>
        </w:rPr>
      </w:pPr>
    </w:p>
    <w:p w14:paraId="49FA6496" w14:textId="608EA13A" w:rsidR="00504232" w:rsidRPr="00F31738" w:rsidRDefault="00504232" w:rsidP="00F31738">
      <w:pPr>
        <w:rPr>
          <w:sz w:val="48"/>
          <w:szCs w:val="48"/>
        </w:rPr>
      </w:pPr>
      <w:r w:rsidRPr="00F31738">
        <w:rPr>
          <w:rFonts w:ascii="Trebuchet MS" w:eastAsia="Trebuchet MS" w:hAnsi="Trebuchet MS" w:cs="Trebuchet MS"/>
          <w:sz w:val="48"/>
          <w:szCs w:val="48"/>
          <w:lang w:val="en-US"/>
        </w:rPr>
        <w:t>DEVELOPMENTAL STAGE</w:t>
      </w:r>
      <w:r w:rsidR="00F31738">
        <w:rPr>
          <w:rFonts w:ascii="Trebuchet MS" w:eastAsia="Trebuchet MS" w:hAnsi="Trebuchet MS" w:cs="Trebuchet MS"/>
          <w:sz w:val="48"/>
          <w:szCs w:val="48"/>
          <w:lang w:val="en-US"/>
        </w:rPr>
        <w:t>S</w:t>
      </w:r>
    </w:p>
    <w:p w14:paraId="52C90731" w14:textId="105936CB" w:rsidR="00EE61EA" w:rsidRPr="004C5EFD" w:rsidRDefault="00504232" w:rsidP="004C5EFD">
      <w:pPr>
        <w:widowControl w:val="0"/>
        <w:spacing w:before="192" w:line="355" w:lineRule="auto"/>
        <w:ind w:left="168" w:right="991"/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</w:t>
      </w:r>
      <w:r w:rsidR="00F31738" w:rsidRPr="001C79E4">
        <w:rPr>
          <w:rFonts w:ascii="Trebuchet MS" w:eastAsia="Trebuchet MS" w:hAnsi="Trebuchet MS" w:cs="Trebuchet MS"/>
          <w:sz w:val="28"/>
          <w:szCs w:val="28"/>
          <w:lang w:val="en-US"/>
        </w:rPr>
        <w:t>T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ooth development is divided into several morphologic 'stages' and  are called the </w:t>
      </w:r>
      <w:r w:rsidRPr="001C79E4"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  <w:t>bud, cap, and bell stages</w:t>
      </w:r>
      <w:r w:rsidR="004C5EFD"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  <w:t>.</w:t>
      </w:r>
    </w:p>
    <w:p w14:paraId="107BA93A" w14:textId="5C23924F" w:rsidR="00504232" w:rsidRPr="00F31738" w:rsidRDefault="004C5EFD" w:rsidP="00681D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rPr>
          <w:rFonts w:ascii="Trebuchet MS" w:eastAsia="Trebuchet MS" w:hAnsi="Trebuchet MS" w:cs="Trebuchet MS"/>
          <w:i/>
          <w:iCs/>
          <w:color w:val="FF0000"/>
          <w:sz w:val="44"/>
          <w:szCs w:val="44"/>
          <w:lang w:val="en-US"/>
        </w:rPr>
      </w:pPr>
      <w:r>
        <w:rPr>
          <w:rFonts w:ascii="Trebuchet MS" w:eastAsia="Trebuchet MS" w:hAnsi="Trebuchet MS" w:cs="Trebuchet MS"/>
          <w:i/>
          <w:iCs/>
          <w:color w:val="FF0000"/>
          <w:sz w:val="44"/>
          <w:szCs w:val="44"/>
          <w:lang w:val="en-US"/>
        </w:rPr>
        <w:t>1.</w:t>
      </w:r>
      <w:r w:rsidR="00504232" w:rsidRPr="00F31738">
        <w:rPr>
          <w:rFonts w:ascii="Trebuchet MS" w:eastAsia="Trebuchet MS" w:hAnsi="Trebuchet MS" w:cs="Trebuchet MS"/>
          <w:i/>
          <w:iCs/>
          <w:color w:val="FF0000"/>
          <w:sz w:val="44"/>
          <w:szCs w:val="44"/>
          <w:lang w:val="en-US"/>
        </w:rPr>
        <w:t>Bud Stage</w:t>
      </w:r>
    </w:p>
    <w:p w14:paraId="7317D814" w14:textId="5672DB7D" w:rsidR="00504232" w:rsidRPr="001C79E4" w:rsidRDefault="00504232" w:rsidP="005042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391" w:lineRule="auto"/>
        <w:ind w:left="173" w:right="329" w:firstLine="18"/>
        <w:rPr>
          <w:rFonts w:ascii="Trebuchet MS" w:eastAsia="Trebuchet MS" w:hAnsi="Trebuchet MS" w:cs="Trebuchet MS"/>
          <w:color w:val="000000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color w:val="000000"/>
          <w:sz w:val="28"/>
          <w:szCs w:val="28"/>
          <w:lang w:val="en-US"/>
        </w:rPr>
        <w:t xml:space="preserve">The epithelium of the dental laminae is separated from the underlying ectomesenchyme by a basement membrane, round or ovoid swellings at 10 different points, corresponding to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>future positions of the deciduous teeth.</w:t>
      </w:r>
      <w:r w:rsidRPr="001C79E4">
        <w:rPr>
          <w:rFonts w:ascii="Trebuchet MS" w:eastAsia="Trebuchet MS" w:hAnsi="Trebuchet MS" w:cs="Trebuchet MS"/>
          <w:color w:val="000000"/>
          <w:sz w:val="28"/>
          <w:szCs w:val="28"/>
          <w:lang w:val="en-US"/>
        </w:rPr>
        <w:t xml:space="preserve"> These are the primordia of the enamel organs, the tooth buds.</w:t>
      </w:r>
    </w:p>
    <w:p w14:paraId="0525BA9F" w14:textId="0F30B998" w:rsidR="00EE61EA" w:rsidRDefault="00EE61EA">
      <w:pPr>
        <w:jc w:val="center"/>
      </w:pPr>
    </w:p>
    <w:p w14:paraId="1082FA5D" w14:textId="3754593A" w:rsidR="00EE61EA" w:rsidRDefault="005042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noProof/>
          <w:sz w:val="20"/>
          <w:szCs w:val="20"/>
        </w:rPr>
        <w:drawing>
          <wp:inline distT="114300" distB="114300" distL="114300" distR="114300" wp14:anchorId="39EFCEFA" wp14:editId="0ABD12D3">
            <wp:extent cx="5002530" cy="1974850"/>
            <wp:effectExtent l="0" t="0" r="7620" b="6350"/>
            <wp:docPr id="2022320796" name="Picture 2022320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1461" cy="19862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320918" w14:textId="77777777" w:rsidR="001C79E4" w:rsidRDefault="001C79E4">
      <w:pPr>
        <w:jc w:val="center"/>
        <w:rPr>
          <w:b/>
          <w:sz w:val="24"/>
          <w:szCs w:val="24"/>
        </w:rPr>
      </w:pPr>
    </w:p>
    <w:p w14:paraId="1BE46AED" w14:textId="77777777" w:rsidR="00AB41CA" w:rsidRPr="001C79E4" w:rsidRDefault="00504232" w:rsidP="0050423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In the bud stage, the enamel organ consists of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>peripherally located low columnar cells and centrally located polygonal cells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. Many cells of the tooth bud and the surrounding mesenchyme undergo mitosis. As a result of the increased mitotic activity and the migration of neural crest cells into the area ,the ectomesenchymal cells surrounding the tooth bud condense. </w:t>
      </w:r>
    </w:p>
    <w:p w14:paraId="515C597D" w14:textId="5EE1EA3F" w:rsidR="00AB41CA" w:rsidRPr="001C79E4" w:rsidRDefault="00504232" w:rsidP="0050423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The area of ectamesenchymal condensation immediately subjacent to the enamel organ is the </w:t>
      </w:r>
      <w:r w:rsidRPr="001C79E4"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  <w:t>dental papilla.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  <w:lang w:val="en-US"/>
        </w:rPr>
        <w:t xml:space="preserve"> </w:t>
      </w:r>
    </w:p>
    <w:p w14:paraId="067A4D58" w14:textId="43B0A2F1" w:rsidR="00944C7B" w:rsidRDefault="00504232" w:rsidP="00681DF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The condensed ectomesenchyme that surrounds the tooth bud and the dental papilla is the </w:t>
      </w:r>
      <w:r w:rsidRPr="001C79E4"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  <w:t>dental sac</w:t>
      </w:r>
      <w:r w:rsidR="00F31738" w:rsidRPr="001C79E4">
        <w:rPr>
          <w:rFonts w:ascii="Trebuchet MS" w:eastAsia="Trebuchet MS" w:hAnsi="Trebuchet MS" w:cs="Trebuchet MS"/>
          <w:b/>
          <w:bCs/>
          <w:color w:val="FF0000"/>
          <w:sz w:val="28"/>
          <w:szCs w:val="28"/>
          <w:lang w:val="en-US"/>
        </w:rPr>
        <w:t>.</w:t>
      </w:r>
    </w:p>
    <w:p w14:paraId="097D42B4" w14:textId="77777777" w:rsidR="003D78CC" w:rsidRPr="001C79E4" w:rsidRDefault="003D78CC" w:rsidP="003D78CC">
      <w:pPr>
        <w:spacing w:before="59"/>
        <w:ind w:left="360" w:right="525"/>
        <w:jc w:val="both"/>
        <w:rPr>
          <w:rFonts w:ascii="Trebuchet MS" w:eastAsia="Trebuchet MS" w:hAnsi="Trebuchet MS" w:cs="Trebuchet MS"/>
          <w:color w:val="FF0000"/>
          <w:sz w:val="28"/>
          <w:szCs w:val="28"/>
        </w:rPr>
      </w:pPr>
      <w:r>
        <w:rPr>
          <w:rFonts w:ascii="Trebuchet MS" w:eastAsia="Trebuchet MS" w:hAnsi="Trebuchet MS" w:cs="Trebuchet MS"/>
          <w:i/>
          <w:iCs/>
          <w:color w:val="FF0000"/>
          <w:sz w:val="44"/>
          <w:szCs w:val="44"/>
        </w:rPr>
        <w:lastRenderedPageBreak/>
        <w:t>2.</w:t>
      </w:r>
      <w:r w:rsidRPr="00F31738">
        <w:rPr>
          <w:rFonts w:ascii="Trebuchet MS" w:eastAsia="Trebuchet MS" w:hAnsi="Trebuchet MS" w:cs="Trebuchet MS"/>
          <w:i/>
          <w:iCs/>
          <w:color w:val="FF0000"/>
          <w:sz w:val="44"/>
          <w:szCs w:val="44"/>
        </w:rPr>
        <w:t>Cap Stage</w:t>
      </w:r>
      <w:r>
        <w:rPr>
          <w:rFonts w:ascii="Trebuchet MS" w:eastAsia="Trebuchet MS" w:hAnsi="Trebuchet MS" w:cs="Trebuchet MS"/>
          <w:color w:val="030303"/>
          <w:sz w:val="36"/>
          <w:szCs w:val="36"/>
        </w:rPr>
        <w:t xml:space="preserve">: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>As the tooth bud continues to proliferate with</w:t>
      </w:r>
      <w:r w:rsidRPr="001C79E4">
        <w:rPr>
          <w:rFonts w:ascii="Trebuchet MS" w:eastAsia="Trebuchet MS" w:hAnsi="Trebuchet MS" w:cs="Trebuchet MS"/>
          <w:color w:val="1D1C1C"/>
          <w:sz w:val="28"/>
          <w:szCs w:val="28"/>
        </w:rPr>
        <w:t xml:space="preserve">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 xml:space="preserve">unequal growth in different parts of the tooth bud leads to the cap stage, which is characterized by a shallow invagination on the deep surface of the bud.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</w:rPr>
        <w:t xml:space="preserve">peripheral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 xml:space="preserve">cells of the cap stage are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</w:rPr>
        <w:t>cuboidal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 xml:space="preserve">, cover the convexity of the cap, and are called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</w:rPr>
        <w:t>outer enamel epithelium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 xml:space="preserve">. The cells in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</w:rPr>
        <w:t xml:space="preserve">concavity of the cap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 xml:space="preserve">become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</w:rPr>
        <w:t xml:space="preserve">tall, columnar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</w:rPr>
        <w:t xml:space="preserve">cells and represent the </w:t>
      </w:r>
      <w:r w:rsidRPr="001C79E4">
        <w:rPr>
          <w:rFonts w:ascii="Trebuchet MS" w:eastAsia="Trebuchet MS" w:hAnsi="Trebuchet MS" w:cs="Trebuchet MS"/>
          <w:color w:val="FF0000"/>
          <w:sz w:val="28"/>
          <w:szCs w:val="28"/>
        </w:rPr>
        <w:t>inner enamel epithelium</w:t>
      </w:r>
    </w:p>
    <w:p w14:paraId="22AE0833" w14:textId="32FAEE5B" w:rsidR="003D78CC" w:rsidRDefault="003D78CC" w:rsidP="00681DF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sz w:val="28"/>
          <w:szCs w:val="28"/>
          <w:lang w:val="en-US"/>
        </w:rPr>
      </w:pPr>
      <w:r>
        <w:rPr>
          <w:rFonts w:ascii="Trebuchet MS" w:eastAsia="Trebuchet MS" w:hAnsi="Trebuchet MS" w:cs="Trebuchet MS"/>
          <w:noProof/>
          <w:sz w:val="36"/>
          <w:szCs w:val="36"/>
        </w:rPr>
        <w:drawing>
          <wp:inline distT="114300" distB="114300" distL="114300" distR="114300" wp14:anchorId="5F96E256" wp14:editId="3A75EFCF">
            <wp:extent cx="4959350" cy="1885850"/>
            <wp:effectExtent l="0" t="0" r="0" b="635"/>
            <wp:docPr id="1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5675" cy="1892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BECC44" w14:textId="77777777" w:rsidR="003D78CC" w:rsidRPr="004C5EFD" w:rsidRDefault="003D78CC" w:rsidP="003D78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/>
        <w:ind w:left="360" w:right="525" w:firstLine="360"/>
        <w:rPr>
          <w:rFonts w:ascii="Trebuchet MS" w:eastAsia="Trebuchet MS" w:hAnsi="Trebuchet MS" w:cs="Trebuchet MS"/>
          <w:b/>
          <w:i/>
          <w:iCs/>
          <w:color w:val="FF0000"/>
          <w:sz w:val="36"/>
          <w:szCs w:val="36"/>
          <w:lang w:val="en-US"/>
        </w:rPr>
      </w:pPr>
      <w:r w:rsidRPr="004C5EFD">
        <w:rPr>
          <w:rFonts w:ascii="Trebuchet MS" w:eastAsia="Trebuchet MS" w:hAnsi="Trebuchet MS" w:cs="Trebuchet MS"/>
          <w:b/>
          <w:i/>
          <w:iCs/>
          <w:color w:val="FF0000"/>
          <w:sz w:val="36"/>
          <w:szCs w:val="36"/>
          <w:lang w:val="en-US"/>
        </w:rPr>
        <w:t>Stellate reticulum</w:t>
      </w:r>
    </w:p>
    <w:p w14:paraId="2CAF35C1" w14:textId="77777777" w:rsidR="003D78CC" w:rsidRPr="001C79E4" w:rsidRDefault="003D78CC" w:rsidP="003D78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"/>
        <w:ind w:left="360" w:right="525" w:firstLine="360"/>
        <w:jc w:val="both"/>
        <w:rPr>
          <w:rFonts w:ascii="Trebuchet MS" w:eastAsia="Trebuchet MS" w:hAnsi="Trebuchet MS" w:cs="Trebuchet MS"/>
          <w:color w:val="030303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color w:val="030303"/>
          <w:sz w:val="28"/>
          <w:szCs w:val="28"/>
          <w:lang w:val="en-US"/>
        </w:rPr>
        <w:t>Polygonal cells located in the center of the epithelial enamel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  <w:lang w:val="en-US"/>
        </w:rPr>
        <w:t xml:space="preserve">organ, between the outer and inner enamel epithelia.  </w:t>
      </w:r>
    </w:p>
    <w:p w14:paraId="5F7FBE92" w14:textId="4261C5D9" w:rsidR="003D78CC" w:rsidRDefault="003D78CC" w:rsidP="00681DF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sz w:val="28"/>
          <w:szCs w:val="28"/>
          <w:lang w:val="en-US"/>
        </w:rPr>
      </w:pPr>
      <w:r>
        <w:rPr>
          <w:rFonts w:ascii="Trebuchet MS" w:eastAsia="Trebuchet MS" w:hAnsi="Trebuchet MS" w:cs="Trebuchet MS"/>
          <w:noProof/>
          <w:sz w:val="36"/>
          <w:szCs w:val="36"/>
        </w:rPr>
        <w:drawing>
          <wp:inline distT="114300" distB="114300" distL="114300" distR="114300" wp14:anchorId="3BEFDAFE" wp14:editId="7BB10ED9">
            <wp:extent cx="4222750" cy="1688990"/>
            <wp:effectExtent l="0" t="0" r="6350" b="6985"/>
            <wp:docPr id="1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184" cy="170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071F52" w14:textId="77777777" w:rsidR="003D78CC" w:rsidRPr="004C5EFD" w:rsidRDefault="003D78CC" w:rsidP="003D78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/>
        <w:ind w:left="360" w:right="525" w:firstLine="360"/>
        <w:rPr>
          <w:rFonts w:ascii="Trebuchet MS" w:eastAsia="Trebuchet MS" w:hAnsi="Trebuchet MS" w:cs="Trebuchet MS"/>
          <w:b/>
          <w:i/>
          <w:iCs/>
          <w:color w:val="FF0000"/>
          <w:sz w:val="36"/>
          <w:szCs w:val="36"/>
          <w:lang w:val="en-US"/>
        </w:rPr>
      </w:pPr>
      <w:r w:rsidRPr="004C5EFD">
        <w:rPr>
          <w:rFonts w:ascii="Trebuchet MS" w:eastAsia="Trebuchet MS" w:hAnsi="Trebuchet MS" w:cs="Trebuchet MS"/>
          <w:b/>
          <w:i/>
          <w:iCs/>
          <w:color w:val="FF0000"/>
          <w:sz w:val="36"/>
          <w:szCs w:val="36"/>
          <w:lang w:val="en-US"/>
        </w:rPr>
        <w:t>Dental papilla</w:t>
      </w:r>
    </w:p>
    <w:p w14:paraId="2549770A" w14:textId="77777777" w:rsidR="003D78CC" w:rsidRPr="001C79E4" w:rsidRDefault="003D78CC" w:rsidP="003D78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7"/>
        <w:ind w:right="525"/>
        <w:jc w:val="both"/>
        <w:rPr>
          <w:rFonts w:ascii="Trebuchet MS" w:eastAsia="Trebuchet MS" w:hAnsi="Trebuchet MS" w:cs="Trebuchet MS"/>
          <w:color w:val="030303"/>
          <w:sz w:val="28"/>
          <w:szCs w:val="28"/>
          <w:lang w:val="en-US"/>
        </w:rPr>
      </w:pPr>
      <w:r w:rsidRPr="001C79E4">
        <w:rPr>
          <w:rFonts w:ascii="Trebuchet MS" w:eastAsia="Trebuchet MS" w:hAnsi="Trebuchet MS" w:cs="Trebuchet MS"/>
          <w:color w:val="030303"/>
          <w:sz w:val="28"/>
          <w:szCs w:val="28"/>
          <w:lang w:val="en-US"/>
        </w:rPr>
        <w:t>The ectomesenchyme (neural crest cells) that is partially enclosed by the invaginated portion of the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</w:t>
      </w:r>
      <w:r w:rsidRPr="001C79E4">
        <w:rPr>
          <w:rFonts w:ascii="Trebuchet MS" w:eastAsia="Trebuchet MS" w:hAnsi="Trebuchet MS" w:cs="Trebuchet MS"/>
          <w:color w:val="030303"/>
          <w:sz w:val="28"/>
          <w:szCs w:val="28"/>
          <w:lang w:val="en-US"/>
        </w:rPr>
        <w:t>inner enamel epithelium proliferates and condenses to form the dental papilla, which is the formative organ of the dentin and primordium of the pulp.</w:t>
      </w:r>
    </w:p>
    <w:p w14:paraId="5E466114" w14:textId="5B977091" w:rsidR="003D78CC" w:rsidRDefault="003D78CC" w:rsidP="00681DF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sz w:val="28"/>
          <w:szCs w:val="28"/>
          <w:lang w:val="en-US"/>
        </w:rPr>
      </w:pPr>
      <w:r>
        <w:rPr>
          <w:rFonts w:ascii="Trebuchet MS" w:eastAsia="Trebuchet MS" w:hAnsi="Trebuchet MS" w:cs="Trebuchet MS"/>
          <w:noProof/>
          <w:sz w:val="36"/>
          <w:szCs w:val="36"/>
        </w:rPr>
        <w:lastRenderedPageBreak/>
        <w:drawing>
          <wp:inline distT="114300" distB="114300" distL="114300" distR="114300" wp14:anchorId="5BC63FCC" wp14:editId="5F8A4CC6">
            <wp:extent cx="3803650" cy="1803199"/>
            <wp:effectExtent l="0" t="0" r="6350" b="6985"/>
            <wp:docPr id="1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4928" cy="1813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F5EBB0" w14:textId="77777777" w:rsidR="003D78CC" w:rsidRPr="001C79E4" w:rsidRDefault="003D78CC" w:rsidP="003D78CC">
      <w:pPr>
        <w:widowControl w:val="0"/>
        <w:spacing w:before="55"/>
        <w:ind w:left="360" w:right="525" w:firstLine="360"/>
        <w:outlineLvl w:val="2"/>
        <w:rPr>
          <w:rFonts w:ascii="Trebuchet MS" w:eastAsia="Trebuchet MS" w:hAnsi="Trebuchet MS" w:cs="Trebuchet MS"/>
          <w:b/>
          <w:color w:val="010101"/>
          <w:sz w:val="28"/>
          <w:szCs w:val="28"/>
          <w:lang w:val="en-US"/>
        </w:rPr>
      </w:pPr>
      <w:r w:rsidRPr="004C5EFD">
        <w:rPr>
          <w:rFonts w:ascii="Trebuchet MS" w:eastAsia="Trebuchet MS" w:hAnsi="Trebuchet MS" w:cs="Trebuchet MS"/>
          <w:b/>
          <w:i/>
          <w:iCs/>
          <w:color w:val="FF0000"/>
          <w:sz w:val="36"/>
          <w:szCs w:val="36"/>
          <w:lang w:val="en-US"/>
        </w:rPr>
        <w:t>Dental sac (dental follicle</w:t>
      </w:r>
      <w:r w:rsidRPr="001C79E4">
        <w:rPr>
          <w:rFonts w:ascii="Trebuchet MS" w:eastAsia="Trebuchet MS" w:hAnsi="Trebuchet MS" w:cs="Trebuchet MS"/>
          <w:b/>
          <w:color w:val="010101"/>
          <w:sz w:val="28"/>
          <w:szCs w:val="28"/>
          <w:lang w:val="en-US"/>
        </w:rPr>
        <w:t>)</w:t>
      </w:r>
      <w:r w:rsidRPr="001C79E4">
        <w:rPr>
          <w:rFonts w:ascii="Trebuchet MS" w:eastAsia="Trebuchet MS" w:hAnsi="Trebuchet MS" w:cs="Trebuchet MS"/>
          <w:color w:val="010101"/>
          <w:sz w:val="28"/>
          <w:szCs w:val="28"/>
          <w:lang w:val="en-US"/>
        </w:rPr>
        <w:t>A marginal condensation in the ectomesenchyme surrounding the enamel organ and dental papilla forming a denser and more fibrous</w:t>
      </w:r>
      <w:r w:rsidRPr="001C79E4">
        <w:rPr>
          <w:rFonts w:ascii="Trebuchet MS" w:eastAsia="Trebuchet MS" w:hAnsi="Trebuchet MS" w:cs="Trebuchet MS"/>
          <w:sz w:val="28"/>
          <w:szCs w:val="28"/>
          <w:lang w:val="en-US"/>
        </w:rPr>
        <w:t xml:space="preserve"> </w:t>
      </w:r>
      <w:r w:rsidRPr="001C79E4">
        <w:rPr>
          <w:rFonts w:ascii="Trebuchet MS" w:eastAsia="Trebuchet MS" w:hAnsi="Trebuchet MS" w:cs="Trebuchet MS"/>
          <w:color w:val="010101"/>
          <w:sz w:val="28"/>
          <w:szCs w:val="28"/>
          <w:lang w:val="en-US"/>
        </w:rPr>
        <w:t>layer develops,which is the primitive dental sac.</w:t>
      </w:r>
    </w:p>
    <w:p w14:paraId="25AA2263" w14:textId="79C54053" w:rsidR="003D78CC" w:rsidRPr="00681DF2" w:rsidRDefault="003D78CC" w:rsidP="00681DF2">
      <w:pPr>
        <w:widowControl w:val="0"/>
        <w:spacing w:before="100" w:line="297" w:lineRule="auto"/>
        <w:ind w:left="169" w:hanging="8"/>
        <w:rPr>
          <w:rFonts w:ascii="Trebuchet MS" w:eastAsia="Trebuchet MS" w:hAnsi="Trebuchet MS" w:cs="Trebuchet MS"/>
          <w:sz w:val="28"/>
          <w:szCs w:val="28"/>
          <w:lang w:val="en-US"/>
        </w:rPr>
      </w:pPr>
      <w:r>
        <w:rPr>
          <w:rFonts w:ascii="Trebuchet MS" w:eastAsia="Trebuchet MS" w:hAnsi="Trebuchet MS" w:cs="Trebuchet MS"/>
          <w:noProof/>
          <w:sz w:val="36"/>
          <w:szCs w:val="36"/>
        </w:rPr>
        <w:drawing>
          <wp:inline distT="114300" distB="114300" distL="114300" distR="114300" wp14:anchorId="1F419F46" wp14:editId="3388024B">
            <wp:extent cx="4705350" cy="2108083"/>
            <wp:effectExtent l="0" t="0" r="0" b="6985"/>
            <wp:docPr id="1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1045" cy="2119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D78CC" w:rsidRPr="00681D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EA"/>
    <w:rsid w:val="001C79E4"/>
    <w:rsid w:val="003D78CC"/>
    <w:rsid w:val="004C5EFD"/>
    <w:rsid w:val="00504232"/>
    <w:rsid w:val="00681DF2"/>
    <w:rsid w:val="00944C7B"/>
    <w:rsid w:val="00A32BA2"/>
    <w:rsid w:val="00AB41CA"/>
    <w:rsid w:val="00CA1FC4"/>
    <w:rsid w:val="00D941EE"/>
    <w:rsid w:val="00DC4C7E"/>
    <w:rsid w:val="00E00656"/>
    <w:rsid w:val="00EE61EA"/>
    <w:rsid w:val="00F3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9B70"/>
  <w15:docId w15:val="{FFF16564-76D6-4BA1-92C5-B7FA2C48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23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13</cp:revision>
  <dcterms:created xsi:type="dcterms:W3CDTF">2023-10-13T12:22:00Z</dcterms:created>
  <dcterms:modified xsi:type="dcterms:W3CDTF">2023-10-25T18:54:00Z</dcterms:modified>
</cp:coreProperties>
</file>