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Fonts w:ascii="Playfair Display" w:cs="Playfair Display" w:eastAsia="Playfair Display" w:hAnsi="Playfair Display"/>
          <w:sz w:val="36"/>
          <w:szCs w:val="36"/>
        </w:rPr>
        <w:drawing>
          <wp:inline distB="114300" distT="114300" distL="114300" distR="114300">
            <wp:extent cx="2007189" cy="2149880"/>
            <wp:effectExtent b="0" l="0" r="0" 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layfair Display" w:cs="Playfair Display" w:eastAsia="Playfair Display" w:hAnsi="Playfair Display"/>
          <w:sz w:val="36"/>
          <w:szCs w:val="36"/>
          <w:rtl w:val="0"/>
        </w:rPr>
        <w:t xml:space="preserve">                       </w:t>
      </w:r>
      <w:r w:rsidDel="00000000" w:rsidR="00000000" w:rsidRPr="00000000">
        <w:rPr>
          <w:rFonts w:ascii="Playfair Display" w:cs="Playfair Display" w:eastAsia="Playfair Display" w:hAnsi="Playfair Display"/>
          <w:sz w:val="36"/>
          <w:szCs w:val="36"/>
        </w:rPr>
        <w:drawing>
          <wp:inline distB="114300" distT="114300" distL="114300" distR="114300">
            <wp:extent cx="2238375" cy="2352675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48"/>
          <w:szCs w:val="48"/>
          <w:rtl w:val="0"/>
        </w:rPr>
        <w:t xml:space="preserve">Oral Histology </w:t>
      </w:r>
      <w:r w:rsidDel="00000000" w:rsidR="00000000" w:rsidRPr="00000000">
        <w:rPr>
          <w:rFonts w:ascii="Playfair Display" w:cs="Playfair Display" w:eastAsia="Playfair Display" w:hAnsi="Playfair Display"/>
          <w:sz w:val="36"/>
          <w:szCs w:val="36"/>
          <w:rtl w:val="0"/>
        </w:rPr>
        <w:t xml:space="preserve">    </w:t>
      </w:r>
    </w:p>
    <w:p w:rsidR="00000000" w:rsidDel="00000000" w:rsidP="00000000" w:rsidRDefault="00000000" w:rsidRPr="00000000" w14:paraId="00000009">
      <w:pPr>
        <w:jc w:val="center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Montserrat" w:cs="Montserrat" w:eastAsia="Montserrat" w:hAnsi="Montserrat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sz w:val="36"/>
          <w:szCs w:val="36"/>
          <w:rtl w:val="0"/>
        </w:rPr>
        <w:t xml:space="preserve">Prof. Dr.Muna Merza</w:t>
      </w:r>
    </w:p>
    <w:p w:rsidR="00000000" w:rsidDel="00000000" w:rsidP="00000000" w:rsidRDefault="00000000" w:rsidRPr="00000000" w14:paraId="0000000D">
      <w:pPr>
        <w:jc w:val="center"/>
        <w:rPr>
          <w:rFonts w:ascii="Montserrat" w:cs="Montserrat" w:eastAsia="Montserrat" w:hAnsi="Montserrat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Montserrat" w:cs="Montserrat" w:eastAsia="Montserrat" w:hAnsi="Montserrat"/>
          <w:sz w:val="36"/>
          <w:szCs w:val="36"/>
        </w:rPr>
      </w:pPr>
      <w:r w:rsidDel="00000000" w:rsidR="00000000" w:rsidRPr="00000000">
        <w:rPr>
          <w:rFonts w:ascii="Playfair Display" w:cs="Playfair Display" w:eastAsia="Playfair Display" w:hAnsi="Playfair Display"/>
          <w:sz w:val="36"/>
          <w:szCs w:val="36"/>
          <w:rtl w:val="0"/>
        </w:rPr>
        <w:t xml:space="preserve">Lecture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Playfair Display" w:cs="Playfair Display" w:eastAsia="Playfair Display" w:hAnsi="Playfair Displa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Oral embryology: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Is the study of the development of the oral cavity, and the structures within it, during the formation and development of the embryo in the first 8 weeks of pregnancy.</w:t>
      </w:r>
    </w:p>
    <w:p w:rsidR="00000000" w:rsidDel="00000000" w:rsidP="00000000" w:rsidRDefault="00000000" w:rsidRPr="00000000" w14:paraId="00000018">
      <w:pPr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Oral histology:</w:t>
      </w:r>
    </w:p>
    <w:p w:rsidR="00000000" w:rsidDel="00000000" w:rsidP="00000000" w:rsidRDefault="00000000" w:rsidRPr="00000000" w14:paraId="00000019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is the study of anatomy that deals with the minute structure, composition</w:t>
      </w:r>
    </w:p>
    <w:p w:rsidR="00000000" w:rsidDel="00000000" w:rsidP="00000000" w:rsidRDefault="00000000" w:rsidRPr="00000000" w14:paraId="0000001A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and function of the tissues of the teeth, periodontium and the surrounding oral mucosa.</w:t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Development of the face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After fertilisation of the ovum, a series of cell divisions gives rise to an egg cell mass known as the morula.</w:t>
      </w:r>
    </w:p>
    <w:p w:rsidR="00000000" w:rsidDel="00000000" w:rsidP="00000000" w:rsidRDefault="00000000" w:rsidRPr="00000000" w14:paraId="0000001D">
      <w:pPr>
        <w:spacing w:line="301.09090909090907" w:lineRule="auto"/>
        <w:jc w:val="center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</w:rPr>
        <w:drawing>
          <wp:inline distB="114300" distT="114300" distL="114300" distR="114300">
            <wp:extent cx="5024438" cy="171098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4438" cy="1710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At about 6 days after fertilisation, the inner cell separates into two layers, the mass epiblast and hypoblast</w:t>
      </w:r>
    </w:p>
    <w:p w:rsidR="00000000" w:rsidDel="00000000" w:rsidP="00000000" w:rsidRDefault="00000000" w:rsidRPr="00000000" w14:paraId="00000020">
      <w:pPr>
        <w:jc w:val="center"/>
        <w:rPr>
          <w:rFonts w:ascii="Playfair Display" w:cs="Playfair Display" w:eastAsia="Playfair Display" w:hAnsi="Playfair Display"/>
          <w:b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24"/>
          <w:szCs w:val="24"/>
        </w:rPr>
        <w:drawing>
          <wp:inline distB="114300" distT="114300" distL="114300" distR="114300">
            <wp:extent cx="4373558" cy="2709863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73558" cy="270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Playfair Display" w:cs="Playfair Display" w:eastAsia="Playfair Display" w:hAnsi="Playfair Display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Second week:</w:t>
      </w:r>
    </w:p>
    <w:p w:rsidR="00000000" w:rsidDel="00000000" w:rsidP="00000000" w:rsidRDefault="00000000" w:rsidRPr="00000000" w14:paraId="00000025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The epiblast cells then organise themselves into a flat disc (bilaminar disc) two-layered, flattened, essentially circular plate of cells with superior epiblast layer (high columnar cells) and inferior hypoblast layer (small cuboidal cells)</w:t>
      </w:r>
    </w:p>
    <w:p w:rsidR="00000000" w:rsidDel="00000000" w:rsidP="00000000" w:rsidRDefault="00000000" w:rsidRPr="00000000" w14:paraId="00000026">
      <w:pPr>
        <w:jc w:val="center"/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</w:rPr>
        <w:drawing>
          <wp:inline distB="114300" distT="114300" distL="114300" distR="114300">
            <wp:extent cx="3643313" cy="279232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43313" cy="2792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Third week</w:t>
      </w:r>
    </w:p>
    <w:p w:rsidR="00000000" w:rsidDel="00000000" w:rsidP="00000000" w:rsidRDefault="00000000" w:rsidRPr="00000000" w14:paraId="00000028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Cells from the epiblast layer migrate between the two layers, becoming mesenchyme, embryonic connective tissue leading to differentiation of the new embryonic layer within the disc from mesenchyme, called mesoderm.</w:t>
      </w:r>
    </w:p>
    <w:p w:rsidR="00000000" w:rsidDel="00000000" w:rsidP="00000000" w:rsidRDefault="00000000" w:rsidRPr="00000000" w14:paraId="00000029">
      <w:pPr>
        <w:rPr>
          <w:rFonts w:ascii="Playfair Display" w:cs="Playfair Display" w:eastAsia="Playfair Display" w:hAnsi="Playfair Display"/>
          <w:b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24"/>
          <w:szCs w:val="24"/>
        </w:rPr>
        <w:drawing>
          <wp:inline distB="114300" distT="114300" distL="114300" distR="114300">
            <wp:extent cx="5731200" cy="27305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Playfair Display" w:cs="Playfair Display" w:eastAsia="Playfair Display" w:hAnsi="Playfair Display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The embryo takes the shape of trilaminar disc, a three-layered disc with epiblast layer now ectoderm and hypoblast layer now endoderm.</w:t>
      </w:r>
    </w:p>
    <w:p w:rsidR="00000000" w:rsidDel="00000000" w:rsidP="00000000" w:rsidRDefault="00000000" w:rsidRPr="00000000" w14:paraId="0000002C">
      <w:pPr>
        <w:jc w:val="center"/>
        <w:rPr>
          <w:rFonts w:ascii="Playfair Display" w:cs="Playfair Display" w:eastAsia="Playfair Display" w:hAnsi="Playfair Display"/>
          <w:b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24"/>
          <w:szCs w:val="24"/>
        </w:rPr>
        <w:drawing>
          <wp:inline distB="114300" distT="114300" distL="114300" distR="114300">
            <wp:extent cx="4243388" cy="203005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388" cy="20300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1. Ectoderm layer- outer layer of cells,</w:t>
      </w:r>
    </w:p>
    <w:p w:rsidR="00000000" w:rsidDel="00000000" w:rsidP="00000000" w:rsidRDefault="00000000" w:rsidRPr="00000000" w14:paraId="0000002E">
      <w:pPr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​​</w:t>
      </w: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which form the outer skin layer, the sensory cells of the eyes, ears and nose, some of the nervous system and external skin glands</w:t>
      </w:r>
    </w:p>
    <w:p w:rsidR="00000000" w:rsidDel="00000000" w:rsidP="00000000" w:rsidRDefault="00000000" w:rsidRPr="00000000" w14:paraId="0000002F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Neuroectoderm cells- specialised cells from the ectoderm layer, and which form connective tissue, cartilage, some bone and some dental tissues.</w:t>
      </w:r>
    </w:p>
    <w:p w:rsidR="00000000" w:rsidDel="00000000" w:rsidP="00000000" w:rsidRDefault="00000000" w:rsidRPr="00000000" w14:paraId="00000030">
      <w:pPr>
        <w:rPr>
          <w:rFonts w:ascii="Oswald" w:cs="Oswald" w:eastAsia="Oswald" w:hAnsi="Oswald"/>
          <w:b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2. Mesoderm layer - middle layer of cells,</w:t>
      </w:r>
    </w:p>
    <w:p w:rsidR="00000000" w:rsidDel="00000000" w:rsidP="00000000" w:rsidRDefault="00000000" w:rsidRPr="00000000" w14:paraId="00000031">
      <w:pPr>
        <w:spacing w:line="301.09090909090907" w:lineRule="auto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which form the deep skin layer, muscle, bone marrow and blood cells, lymphatic system, reproductive organs and excretory organs including the salivary glands.</w:t>
      </w:r>
    </w:p>
    <w:p w:rsidR="00000000" w:rsidDel="00000000" w:rsidP="00000000" w:rsidRDefault="00000000" w:rsidRPr="00000000" w14:paraId="00000032">
      <w:pPr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sz w:val="24"/>
          <w:szCs w:val="24"/>
          <w:rtl w:val="0"/>
        </w:rPr>
        <w:t xml:space="preserve">3. Endoderm layer - inner layer of cells, </w:t>
      </w:r>
      <w:r w:rsidDel="00000000" w:rsidR="00000000" w:rsidRPr="00000000">
        <w:rPr>
          <w:rFonts w:ascii="Playfair Display" w:cs="Playfair Display" w:eastAsia="Playfair Display" w:hAnsi="Playfair Display"/>
          <w:sz w:val="24"/>
          <w:szCs w:val="24"/>
          <w:rtl w:val="0"/>
        </w:rPr>
        <w:t xml:space="preserve">which form the linings of the respiratory and digestive systems, liver and pancreas.</w:t>
      </w:r>
    </w:p>
    <w:p w:rsidR="00000000" w:rsidDel="00000000" w:rsidP="00000000" w:rsidRDefault="00000000" w:rsidRPr="00000000" w14:paraId="00000033">
      <w:pPr>
        <w:rPr>
          <w:rFonts w:ascii="Oswald" w:cs="Oswald" w:eastAsia="Oswald" w:hAnsi="Oswald"/>
          <w:b w:val="1"/>
          <w:sz w:val="60"/>
          <w:szCs w:val="60"/>
          <w:shd w:fill="f8e71c" w:val="clear"/>
        </w:rPr>
      </w:pPr>
      <w:r w:rsidDel="00000000" w:rsidR="00000000" w:rsidRPr="00000000">
        <w:rPr>
          <w:rtl w:val="0"/>
        </w:rPr>
      </w:r>
    </w:p>
    <w:sectPr>
      <w:head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swald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image" Target="media/image1.jp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10" Type="http://schemas.openxmlformats.org/officeDocument/2006/relationships/font" Target="fonts/Oswald-bold.ttf"/><Relationship Id="rId9" Type="http://schemas.openxmlformats.org/officeDocument/2006/relationships/font" Target="fonts/Oswald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